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DD55" w14:textId="77777777" w:rsidR="0030616C" w:rsidRPr="003F753C" w:rsidRDefault="0030616C" w:rsidP="003F753C">
      <w:pPr>
        <w:pStyle w:val="Heading1"/>
      </w:pPr>
    </w:p>
    <w:p w14:paraId="719BFCA3" w14:textId="77777777" w:rsidR="0030616C" w:rsidRDefault="0030616C">
      <w:pPr>
        <w:ind w:left="284"/>
        <w:jc w:val="center"/>
        <w:rPr>
          <w:lang w:val="en-GB"/>
        </w:rPr>
      </w:pPr>
    </w:p>
    <w:p w14:paraId="0837F5AD" w14:textId="77777777" w:rsidR="0030616C" w:rsidRDefault="0030616C">
      <w:pPr>
        <w:jc w:val="center"/>
        <w:rPr>
          <w:lang w:val="en-GB"/>
        </w:rPr>
      </w:pPr>
    </w:p>
    <w:p w14:paraId="65D89615" w14:textId="77777777" w:rsidR="0030616C" w:rsidRDefault="0030616C">
      <w:pPr>
        <w:jc w:val="center"/>
        <w:rPr>
          <w:lang w:val="en-GB"/>
        </w:rPr>
      </w:pPr>
    </w:p>
    <w:p w14:paraId="41029239" w14:textId="77777777" w:rsidR="0030616C" w:rsidRDefault="0030616C">
      <w:pPr>
        <w:jc w:val="center"/>
        <w:rPr>
          <w:lang w:val="en-GB"/>
        </w:rPr>
      </w:pPr>
    </w:p>
    <w:p w14:paraId="1AB07272" w14:textId="77777777" w:rsidR="0030616C" w:rsidRDefault="0030616C">
      <w:pPr>
        <w:jc w:val="center"/>
        <w:rPr>
          <w:b/>
          <w:bCs/>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p w14:paraId="7E233BCE" w14:textId="77777777" w:rsidR="0030616C" w:rsidRPr="000B10B7" w:rsidRDefault="0030616C">
      <w:pPr>
        <w:pStyle w:val="Heading5"/>
        <w:rPr>
          <w:rFonts w:cs="Arial"/>
          <w:b w:val="0"/>
          <w:i w:val="0"/>
          <w:sz w:val="40"/>
          <w:lang w:val="en-GB"/>
        </w:rPr>
      </w:pPr>
      <w:r w:rsidRPr="000B10B7">
        <w:rPr>
          <w:rFonts w:cs="Arial"/>
          <w:sz w:val="40"/>
          <w:lang w:val="en-GB"/>
        </w:rPr>
        <w:t>LONDON BOROUGH OF HARROW</w:t>
      </w:r>
    </w:p>
    <w:p w14:paraId="28BA371D" w14:textId="77777777" w:rsidR="0030616C" w:rsidRPr="000B10B7" w:rsidRDefault="0030616C">
      <w:pPr>
        <w:pStyle w:val="Heading6"/>
        <w:rPr>
          <w:rFonts w:cs="Arial"/>
          <w:sz w:val="40"/>
          <w:lang w:val="en-GB"/>
        </w:rPr>
      </w:pPr>
      <w:r w:rsidRPr="000B10B7">
        <w:rPr>
          <w:rFonts w:cs="Arial"/>
          <w:sz w:val="40"/>
          <w:lang w:val="en-GB"/>
        </w:rPr>
        <w:t>PENSION FUND</w:t>
      </w:r>
    </w:p>
    <w:p w14:paraId="0AE10EF5" w14:textId="77777777" w:rsidR="0030616C" w:rsidRPr="000B10B7" w:rsidRDefault="0030616C">
      <w:pPr>
        <w:jc w:val="center"/>
        <w:rPr>
          <w:rFonts w:ascii="Arial" w:hAnsi="Arial" w:cs="Arial"/>
          <w:b/>
          <w:i/>
          <w:sz w:val="40"/>
          <w:lang w:val="en-GB"/>
        </w:rPr>
      </w:pPr>
    </w:p>
    <w:p w14:paraId="7707820D" w14:textId="77777777" w:rsidR="0030616C" w:rsidRPr="000B10B7" w:rsidRDefault="0030616C">
      <w:pPr>
        <w:jc w:val="center"/>
        <w:rPr>
          <w:rFonts w:ascii="Arial" w:hAnsi="Arial" w:cs="Arial"/>
          <w:b/>
          <w:i/>
          <w:sz w:val="40"/>
          <w:lang w:val="en-GB"/>
        </w:rPr>
      </w:pPr>
    </w:p>
    <w:p w14:paraId="76151DA3" w14:textId="77777777" w:rsidR="0030616C" w:rsidRPr="000B10B7" w:rsidRDefault="0030616C">
      <w:pPr>
        <w:jc w:val="center"/>
        <w:rPr>
          <w:rFonts w:ascii="Arial" w:hAnsi="Arial" w:cs="Arial"/>
          <w:b/>
          <w:i/>
          <w:sz w:val="40"/>
          <w:lang w:val="en-GB"/>
        </w:rPr>
      </w:pPr>
    </w:p>
    <w:p w14:paraId="231EEC3B" w14:textId="77777777" w:rsidR="0030616C" w:rsidRPr="000B10B7" w:rsidRDefault="0030616C">
      <w:pPr>
        <w:jc w:val="center"/>
        <w:rPr>
          <w:rFonts w:ascii="Arial" w:hAnsi="Arial" w:cs="Arial"/>
          <w:b/>
          <w:i/>
          <w:sz w:val="40"/>
          <w:lang w:val="en-GB"/>
        </w:rPr>
      </w:pPr>
    </w:p>
    <w:p w14:paraId="74594A34" w14:textId="77777777" w:rsidR="0030616C" w:rsidRPr="000B10B7" w:rsidRDefault="00B72A8C" w:rsidP="00AF49ED">
      <w:pPr>
        <w:jc w:val="center"/>
        <w:rPr>
          <w:rFonts w:ascii="Arial" w:hAnsi="Arial" w:cs="Arial"/>
          <w:sz w:val="40"/>
          <w:lang w:val="en-GB"/>
        </w:rPr>
      </w:pPr>
      <w:r w:rsidRPr="000B10B7">
        <w:rPr>
          <w:rFonts w:ascii="Arial" w:hAnsi="Arial" w:cs="Arial"/>
          <w:b/>
          <w:i/>
          <w:sz w:val="40"/>
          <w:lang w:val="en-GB"/>
        </w:rPr>
        <w:t>INVESTMENT STRATEGY STATEMENT</w:t>
      </w:r>
    </w:p>
    <w:p w14:paraId="2080A4A1" w14:textId="77777777" w:rsidR="0030616C" w:rsidRPr="000B10B7" w:rsidRDefault="0030616C">
      <w:pPr>
        <w:rPr>
          <w:rFonts w:ascii="Arial" w:hAnsi="Arial" w:cs="Arial"/>
          <w:sz w:val="40"/>
          <w:lang w:val="en-GB"/>
        </w:rPr>
      </w:pPr>
    </w:p>
    <w:p w14:paraId="02387229" w14:textId="77777777" w:rsidR="0030616C" w:rsidRPr="000B10B7" w:rsidRDefault="0030616C">
      <w:pPr>
        <w:pStyle w:val="Footer"/>
        <w:tabs>
          <w:tab w:val="clear" w:pos="4320"/>
          <w:tab w:val="clear" w:pos="8640"/>
        </w:tabs>
        <w:rPr>
          <w:lang w:val="en-GB"/>
        </w:rPr>
      </w:pPr>
    </w:p>
    <w:p w14:paraId="4A802ED0" w14:textId="77777777" w:rsidR="0030616C" w:rsidRPr="000B10B7" w:rsidRDefault="0030616C">
      <w:pPr>
        <w:rPr>
          <w:lang w:val="en-GB"/>
        </w:rPr>
      </w:pPr>
    </w:p>
    <w:p w14:paraId="3290C9F1" w14:textId="77777777" w:rsidR="0030616C" w:rsidRPr="000B10B7" w:rsidRDefault="0030616C">
      <w:pPr>
        <w:rPr>
          <w:lang w:val="en-GB"/>
        </w:rPr>
      </w:pPr>
    </w:p>
    <w:p w14:paraId="779FEE00" w14:textId="77777777" w:rsidR="0030616C" w:rsidRPr="000B10B7" w:rsidRDefault="0030616C">
      <w:pPr>
        <w:rPr>
          <w:lang w:val="en-GB"/>
        </w:rPr>
      </w:pPr>
    </w:p>
    <w:p w14:paraId="6D942088" w14:textId="43C58E0A" w:rsidR="008134AD" w:rsidRPr="00C43E42" w:rsidRDefault="00C47824" w:rsidP="008134AD">
      <w:pPr>
        <w:jc w:val="center"/>
        <w:rPr>
          <w:rFonts w:ascii="Arial" w:hAnsi="Arial"/>
          <w:b/>
          <w:bCs/>
          <w:iCs/>
          <w:sz w:val="36"/>
          <w:szCs w:val="36"/>
        </w:rPr>
      </w:pPr>
      <w:r>
        <w:rPr>
          <w:rFonts w:ascii="Arial" w:hAnsi="Arial"/>
          <w:b/>
          <w:bCs/>
          <w:iCs/>
          <w:sz w:val="36"/>
          <w:szCs w:val="36"/>
        </w:rPr>
        <w:t>9 SEPTEMBER 2024</w:t>
      </w:r>
    </w:p>
    <w:p w14:paraId="66B0E25D" w14:textId="77777777" w:rsidR="008134AD" w:rsidRDefault="008134AD" w:rsidP="008134AD">
      <w:pPr>
        <w:jc w:val="center"/>
        <w:rPr>
          <w:rFonts w:ascii="Arial" w:hAnsi="Arial"/>
          <w:i/>
          <w:sz w:val="36"/>
          <w:szCs w:val="36"/>
        </w:rPr>
      </w:pPr>
    </w:p>
    <w:p w14:paraId="2AE8E56D" w14:textId="77777777" w:rsidR="008134AD" w:rsidRDefault="008134AD" w:rsidP="008134AD">
      <w:pPr>
        <w:jc w:val="center"/>
        <w:rPr>
          <w:rFonts w:ascii="Arial" w:hAnsi="Arial"/>
          <w:i/>
          <w:sz w:val="36"/>
          <w:szCs w:val="36"/>
        </w:rPr>
      </w:pPr>
    </w:p>
    <w:p w14:paraId="43B63FB1" w14:textId="77777777" w:rsidR="008134AD" w:rsidRDefault="008134AD" w:rsidP="008134AD">
      <w:pPr>
        <w:jc w:val="center"/>
        <w:rPr>
          <w:rFonts w:ascii="Arial" w:hAnsi="Arial"/>
          <w:i/>
          <w:sz w:val="36"/>
          <w:szCs w:val="36"/>
        </w:rPr>
      </w:pPr>
    </w:p>
    <w:p w14:paraId="41B652E0" w14:textId="77777777" w:rsidR="008134AD" w:rsidRDefault="008134AD" w:rsidP="008134AD">
      <w:pPr>
        <w:jc w:val="center"/>
        <w:rPr>
          <w:rFonts w:ascii="Arial" w:hAnsi="Arial"/>
          <w:i/>
          <w:sz w:val="36"/>
          <w:szCs w:val="36"/>
        </w:rPr>
      </w:pPr>
    </w:p>
    <w:p w14:paraId="0A963298" w14:textId="77777777" w:rsidR="008134AD" w:rsidRDefault="008134AD" w:rsidP="008134AD">
      <w:pPr>
        <w:jc w:val="center"/>
        <w:rPr>
          <w:rFonts w:ascii="Arial" w:hAnsi="Arial"/>
          <w:i/>
          <w:sz w:val="36"/>
          <w:szCs w:val="36"/>
        </w:rPr>
      </w:pPr>
    </w:p>
    <w:p w14:paraId="3F1FB52E" w14:textId="77777777" w:rsidR="008134AD" w:rsidRDefault="008134AD" w:rsidP="008134AD">
      <w:pPr>
        <w:jc w:val="center"/>
        <w:rPr>
          <w:rFonts w:ascii="Arial" w:hAnsi="Arial"/>
          <w:i/>
          <w:sz w:val="36"/>
          <w:szCs w:val="36"/>
        </w:rPr>
      </w:pPr>
    </w:p>
    <w:p w14:paraId="3E7675E2" w14:textId="77777777" w:rsidR="008134AD" w:rsidRPr="000B10B7" w:rsidRDefault="008134AD" w:rsidP="008134AD">
      <w:pPr>
        <w:jc w:val="center"/>
        <w:rPr>
          <w:lang w:val="en-GB"/>
        </w:rPr>
      </w:pPr>
    </w:p>
    <w:p w14:paraId="61954693" w14:textId="77777777" w:rsidR="0030616C" w:rsidRPr="000B10B7" w:rsidRDefault="0030616C" w:rsidP="008134AD">
      <w:pPr>
        <w:tabs>
          <w:tab w:val="left" w:pos="6521"/>
        </w:tabs>
        <w:jc w:val="center"/>
        <w:rPr>
          <w:lang w:val="en-GB"/>
        </w:rPr>
      </w:pPr>
    </w:p>
    <w:p w14:paraId="36C16FB0" w14:textId="12E54342" w:rsidR="008134AD" w:rsidRDefault="002D1994" w:rsidP="008134AD">
      <w:pPr>
        <w:pStyle w:val="Heading1"/>
        <w:ind w:left="567" w:right="425"/>
        <w:jc w:val="center"/>
        <w:rPr>
          <w:rFonts w:ascii="Arial" w:hAnsi="Arial"/>
          <w:i/>
          <w:sz w:val="36"/>
          <w:szCs w:val="36"/>
        </w:rPr>
      </w:pPr>
      <w:r>
        <w:rPr>
          <w:noProof/>
        </w:rPr>
        <w:drawing>
          <wp:inline distT="0" distB="0" distL="0" distR="0" wp14:anchorId="0051EE4F" wp14:editId="622FEA12">
            <wp:extent cx="2440940" cy="707390"/>
            <wp:effectExtent l="0" t="0" r="0" b="0"/>
            <wp:docPr id="3" name="Picture 3" descr="London Borough of Harr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ndon Borough of Harro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0940" cy="707390"/>
                    </a:xfrm>
                    <a:prstGeom prst="rect">
                      <a:avLst/>
                    </a:prstGeom>
                    <a:noFill/>
                    <a:ln>
                      <a:noFill/>
                    </a:ln>
                  </pic:spPr>
                </pic:pic>
              </a:graphicData>
            </a:graphic>
          </wp:inline>
        </w:drawing>
      </w:r>
      <w:r w:rsidR="008134AD" w:rsidRPr="000B10B7">
        <w:rPr>
          <w:rFonts w:ascii="Arial" w:hAnsi="Arial"/>
          <w:i/>
          <w:sz w:val="36"/>
          <w:szCs w:val="36"/>
        </w:rPr>
        <w:t xml:space="preserve"> </w:t>
      </w:r>
    </w:p>
    <w:p w14:paraId="35E67733" w14:textId="77777777" w:rsidR="0030616C" w:rsidRDefault="0030616C" w:rsidP="008134AD">
      <w:pPr>
        <w:pStyle w:val="Heading1"/>
        <w:ind w:left="567" w:right="425"/>
        <w:jc w:val="center"/>
        <w:rPr>
          <w:rFonts w:ascii="Arial" w:hAnsi="Arial"/>
          <w:sz w:val="24"/>
        </w:rPr>
      </w:pPr>
      <w:r w:rsidRPr="000B10B7">
        <w:rPr>
          <w:rFonts w:ascii="Arial" w:hAnsi="Arial"/>
          <w:i/>
          <w:sz w:val="36"/>
          <w:szCs w:val="36"/>
        </w:rPr>
        <w:br w:type="page"/>
      </w:r>
    </w:p>
    <w:p w14:paraId="6577A535" w14:textId="77777777" w:rsidR="0030616C" w:rsidRPr="007B30A9" w:rsidRDefault="0030616C">
      <w:pPr>
        <w:ind w:left="567" w:right="425"/>
        <w:rPr>
          <w:rFonts w:ascii="Arial" w:hAnsi="Arial"/>
          <w:sz w:val="28"/>
          <w:szCs w:val="28"/>
          <w:lang w:val="en-GB"/>
        </w:rPr>
      </w:pPr>
    </w:p>
    <w:p w14:paraId="3A09DF9C" w14:textId="77777777" w:rsidR="0030616C" w:rsidRPr="002A3F19" w:rsidRDefault="0030616C" w:rsidP="007B30A9">
      <w:pPr>
        <w:pStyle w:val="Heading7"/>
        <w:ind w:left="567" w:right="425"/>
        <w:jc w:val="center"/>
        <w:rPr>
          <w:sz w:val="40"/>
          <w:szCs w:val="28"/>
        </w:rPr>
      </w:pPr>
      <w:r w:rsidRPr="002A3F19">
        <w:rPr>
          <w:sz w:val="40"/>
          <w:szCs w:val="28"/>
        </w:rPr>
        <w:t>CONTENTS</w:t>
      </w:r>
    </w:p>
    <w:p w14:paraId="27D43918" w14:textId="77777777" w:rsidR="002A3F19" w:rsidRDefault="002A3F19" w:rsidP="00B72978">
      <w:pPr>
        <w:tabs>
          <w:tab w:val="left" w:pos="709"/>
        </w:tabs>
        <w:ind w:right="425"/>
        <w:rPr>
          <w:rFonts w:ascii="Arial" w:hAnsi="Arial"/>
          <w:highlight w:val="red"/>
          <w:lang w:val="en-GB"/>
        </w:rPr>
      </w:pPr>
    </w:p>
    <w:p w14:paraId="139F03E5" w14:textId="77777777" w:rsidR="002A3F19" w:rsidRDefault="002A3F19" w:rsidP="00B72978">
      <w:pPr>
        <w:tabs>
          <w:tab w:val="left" w:pos="709"/>
        </w:tabs>
        <w:ind w:right="425"/>
        <w:rPr>
          <w:rFonts w:ascii="Arial" w:hAnsi="Arial"/>
          <w:highlight w:val="red"/>
          <w:lang w:val="en-GB"/>
        </w:rPr>
      </w:pPr>
    </w:p>
    <w:p w14:paraId="5665282E" w14:textId="77777777" w:rsidR="002A3F19" w:rsidRDefault="002A3F19" w:rsidP="00B72978">
      <w:pPr>
        <w:tabs>
          <w:tab w:val="left" w:pos="709"/>
        </w:tabs>
        <w:ind w:right="425"/>
        <w:rPr>
          <w:rFonts w:ascii="Arial" w:hAnsi="Arial"/>
          <w:highlight w:val="red"/>
          <w:lang w:val="en-GB"/>
        </w:rPr>
      </w:pPr>
    </w:p>
    <w:tbl>
      <w:tblPr>
        <w:tblW w:w="0" w:type="auto"/>
        <w:tblInd w:w="959" w:type="dxa"/>
        <w:tblLook w:val="04A0" w:firstRow="1" w:lastRow="0" w:firstColumn="1" w:lastColumn="0" w:noHBand="0" w:noVBand="1"/>
      </w:tblPr>
      <w:tblGrid>
        <w:gridCol w:w="1086"/>
        <w:gridCol w:w="6946"/>
      </w:tblGrid>
      <w:tr w:rsidR="00BC726E" w:rsidRPr="006B49BD" w14:paraId="7CCE47ED" w14:textId="77777777" w:rsidTr="00BC726E">
        <w:trPr>
          <w:trHeight w:val="567"/>
        </w:trPr>
        <w:tc>
          <w:tcPr>
            <w:tcW w:w="1086" w:type="dxa"/>
            <w:shd w:val="clear" w:color="auto" w:fill="auto"/>
            <w:vAlign w:val="center"/>
          </w:tcPr>
          <w:p w14:paraId="01C34B33" w14:textId="77777777" w:rsidR="00BC726E" w:rsidRPr="006B49BD" w:rsidRDefault="00BC726E" w:rsidP="006B49BD">
            <w:pPr>
              <w:tabs>
                <w:tab w:val="left" w:pos="709"/>
              </w:tabs>
              <w:spacing w:before="20" w:after="20"/>
              <w:ind w:right="425"/>
              <w:rPr>
                <w:rFonts w:ascii="Arial" w:hAnsi="Arial" w:cs="Arial"/>
                <w:sz w:val="32"/>
                <w:szCs w:val="32"/>
                <w:lang w:val="en-GB"/>
              </w:rPr>
            </w:pPr>
          </w:p>
        </w:tc>
        <w:tc>
          <w:tcPr>
            <w:tcW w:w="6946" w:type="dxa"/>
            <w:shd w:val="clear" w:color="auto" w:fill="auto"/>
            <w:vAlign w:val="center"/>
          </w:tcPr>
          <w:p w14:paraId="3C2898E0" w14:textId="77777777" w:rsidR="00BC726E" w:rsidRDefault="00BC726E" w:rsidP="006B49BD">
            <w:pPr>
              <w:tabs>
                <w:tab w:val="left" w:pos="709"/>
              </w:tabs>
              <w:spacing w:before="20" w:after="20"/>
              <w:ind w:right="425"/>
              <w:rPr>
                <w:rFonts w:ascii="Arial" w:hAnsi="Arial" w:cs="Arial"/>
                <w:sz w:val="32"/>
                <w:szCs w:val="32"/>
                <w:lang w:val="en-GB"/>
              </w:rPr>
            </w:pPr>
            <w:r>
              <w:rPr>
                <w:rFonts w:ascii="Arial" w:hAnsi="Arial" w:cs="Arial"/>
                <w:sz w:val="32"/>
                <w:szCs w:val="32"/>
                <w:lang w:val="en-GB"/>
              </w:rPr>
              <w:t>Executive Summary</w:t>
            </w:r>
          </w:p>
          <w:p w14:paraId="7C7DAFCD" w14:textId="77777777" w:rsidR="00BC726E" w:rsidRPr="006B49BD" w:rsidRDefault="00BC726E" w:rsidP="006B49BD">
            <w:pPr>
              <w:tabs>
                <w:tab w:val="left" w:pos="709"/>
              </w:tabs>
              <w:spacing w:before="20" w:after="20"/>
              <w:ind w:right="425"/>
              <w:rPr>
                <w:rFonts w:ascii="Arial" w:hAnsi="Arial" w:cs="Arial"/>
                <w:sz w:val="32"/>
                <w:szCs w:val="32"/>
                <w:lang w:val="en-GB"/>
              </w:rPr>
            </w:pPr>
          </w:p>
        </w:tc>
      </w:tr>
      <w:tr w:rsidR="00024019" w:rsidRPr="006B49BD" w14:paraId="364C7D9A" w14:textId="77777777" w:rsidTr="00BC726E">
        <w:trPr>
          <w:trHeight w:val="567"/>
        </w:trPr>
        <w:tc>
          <w:tcPr>
            <w:tcW w:w="1086" w:type="dxa"/>
            <w:shd w:val="clear" w:color="auto" w:fill="auto"/>
            <w:vAlign w:val="center"/>
          </w:tcPr>
          <w:p w14:paraId="10AA4410"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1.</w:t>
            </w:r>
          </w:p>
        </w:tc>
        <w:tc>
          <w:tcPr>
            <w:tcW w:w="6946" w:type="dxa"/>
            <w:shd w:val="clear" w:color="auto" w:fill="auto"/>
            <w:vAlign w:val="center"/>
          </w:tcPr>
          <w:p w14:paraId="6F01E21E"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Introduction</w:t>
            </w:r>
          </w:p>
        </w:tc>
      </w:tr>
      <w:tr w:rsidR="00024019" w:rsidRPr="006B49BD" w14:paraId="6B4F8EB1" w14:textId="77777777" w:rsidTr="00BC726E">
        <w:trPr>
          <w:trHeight w:val="567"/>
        </w:trPr>
        <w:tc>
          <w:tcPr>
            <w:tcW w:w="1086" w:type="dxa"/>
            <w:shd w:val="clear" w:color="auto" w:fill="auto"/>
            <w:vAlign w:val="center"/>
          </w:tcPr>
          <w:p w14:paraId="2F7B5B95"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2.</w:t>
            </w:r>
          </w:p>
        </w:tc>
        <w:tc>
          <w:tcPr>
            <w:tcW w:w="6946" w:type="dxa"/>
            <w:shd w:val="clear" w:color="auto" w:fill="auto"/>
            <w:vAlign w:val="center"/>
          </w:tcPr>
          <w:p w14:paraId="2A75266B"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Statutory background</w:t>
            </w:r>
          </w:p>
        </w:tc>
      </w:tr>
      <w:tr w:rsidR="00024019" w:rsidRPr="006B49BD" w14:paraId="0575A31A" w14:textId="77777777" w:rsidTr="00BC726E">
        <w:trPr>
          <w:trHeight w:val="567"/>
        </w:trPr>
        <w:tc>
          <w:tcPr>
            <w:tcW w:w="1086" w:type="dxa"/>
            <w:shd w:val="clear" w:color="auto" w:fill="auto"/>
            <w:vAlign w:val="center"/>
          </w:tcPr>
          <w:p w14:paraId="66220280"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3.</w:t>
            </w:r>
          </w:p>
        </w:tc>
        <w:tc>
          <w:tcPr>
            <w:tcW w:w="6946" w:type="dxa"/>
            <w:shd w:val="clear" w:color="auto" w:fill="auto"/>
            <w:vAlign w:val="center"/>
          </w:tcPr>
          <w:p w14:paraId="41C6DF69"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Directions by Secretary of State</w:t>
            </w:r>
          </w:p>
        </w:tc>
      </w:tr>
      <w:tr w:rsidR="00024019" w:rsidRPr="006B49BD" w14:paraId="75F063E4" w14:textId="77777777" w:rsidTr="00BC726E">
        <w:trPr>
          <w:trHeight w:val="567"/>
        </w:trPr>
        <w:tc>
          <w:tcPr>
            <w:tcW w:w="1086" w:type="dxa"/>
            <w:shd w:val="clear" w:color="auto" w:fill="auto"/>
            <w:vAlign w:val="center"/>
          </w:tcPr>
          <w:p w14:paraId="0CFEDBC3"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4.</w:t>
            </w:r>
          </w:p>
        </w:tc>
        <w:tc>
          <w:tcPr>
            <w:tcW w:w="6946" w:type="dxa"/>
            <w:shd w:val="clear" w:color="auto" w:fill="auto"/>
            <w:vAlign w:val="center"/>
          </w:tcPr>
          <w:p w14:paraId="28418DF9"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Advisers</w:t>
            </w:r>
          </w:p>
        </w:tc>
      </w:tr>
      <w:tr w:rsidR="00024019" w:rsidRPr="006B49BD" w14:paraId="737ECD72" w14:textId="77777777" w:rsidTr="00BC726E">
        <w:trPr>
          <w:trHeight w:val="567"/>
        </w:trPr>
        <w:tc>
          <w:tcPr>
            <w:tcW w:w="1086" w:type="dxa"/>
            <w:shd w:val="clear" w:color="auto" w:fill="auto"/>
            <w:vAlign w:val="center"/>
          </w:tcPr>
          <w:p w14:paraId="22352B40"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5.</w:t>
            </w:r>
          </w:p>
        </w:tc>
        <w:tc>
          <w:tcPr>
            <w:tcW w:w="6946" w:type="dxa"/>
            <w:shd w:val="clear" w:color="auto" w:fill="auto"/>
            <w:vAlign w:val="center"/>
          </w:tcPr>
          <w:p w14:paraId="6CC8EED2"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Objective of the Fund</w:t>
            </w:r>
          </w:p>
        </w:tc>
      </w:tr>
      <w:tr w:rsidR="00024019" w:rsidRPr="006B49BD" w14:paraId="69EDDE4A" w14:textId="77777777" w:rsidTr="00BC726E">
        <w:trPr>
          <w:trHeight w:val="567"/>
        </w:trPr>
        <w:tc>
          <w:tcPr>
            <w:tcW w:w="1086" w:type="dxa"/>
            <w:shd w:val="clear" w:color="auto" w:fill="auto"/>
            <w:vAlign w:val="center"/>
          </w:tcPr>
          <w:p w14:paraId="629C82A0"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6.</w:t>
            </w:r>
          </w:p>
        </w:tc>
        <w:tc>
          <w:tcPr>
            <w:tcW w:w="6946" w:type="dxa"/>
            <w:shd w:val="clear" w:color="auto" w:fill="auto"/>
            <w:vAlign w:val="center"/>
          </w:tcPr>
          <w:p w14:paraId="294C29D7"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Investment beliefs</w:t>
            </w:r>
          </w:p>
        </w:tc>
      </w:tr>
      <w:tr w:rsidR="00024019" w:rsidRPr="006B49BD" w14:paraId="75230B9D" w14:textId="77777777" w:rsidTr="00BC726E">
        <w:trPr>
          <w:trHeight w:val="567"/>
        </w:trPr>
        <w:tc>
          <w:tcPr>
            <w:tcW w:w="1086" w:type="dxa"/>
            <w:shd w:val="clear" w:color="auto" w:fill="auto"/>
          </w:tcPr>
          <w:p w14:paraId="6575BE22"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7.</w:t>
            </w:r>
          </w:p>
        </w:tc>
        <w:tc>
          <w:tcPr>
            <w:tcW w:w="6946" w:type="dxa"/>
            <w:shd w:val="clear" w:color="auto" w:fill="auto"/>
            <w:vAlign w:val="center"/>
          </w:tcPr>
          <w:p w14:paraId="710C04DA"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The suitability of particular investments and types of investments</w:t>
            </w:r>
          </w:p>
        </w:tc>
      </w:tr>
      <w:tr w:rsidR="00024019" w:rsidRPr="006B49BD" w14:paraId="410D1CD3" w14:textId="77777777" w:rsidTr="00BC726E">
        <w:trPr>
          <w:trHeight w:val="567"/>
        </w:trPr>
        <w:tc>
          <w:tcPr>
            <w:tcW w:w="1086" w:type="dxa"/>
            <w:shd w:val="clear" w:color="auto" w:fill="auto"/>
            <w:vAlign w:val="center"/>
          </w:tcPr>
          <w:p w14:paraId="5C817FF1"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8.</w:t>
            </w:r>
          </w:p>
        </w:tc>
        <w:tc>
          <w:tcPr>
            <w:tcW w:w="6946" w:type="dxa"/>
            <w:shd w:val="clear" w:color="auto" w:fill="auto"/>
            <w:vAlign w:val="center"/>
          </w:tcPr>
          <w:p w14:paraId="6F162EC5"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Asset classes</w:t>
            </w:r>
          </w:p>
        </w:tc>
      </w:tr>
      <w:tr w:rsidR="00024019" w:rsidRPr="006B49BD" w14:paraId="7BEFBE7C" w14:textId="77777777" w:rsidTr="00BC726E">
        <w:trPr>
          <w:trHeight w:val="567"/>
        </w:trPr>
        <w:tc>
          <w:tcPr>
            <w:tcW w:w="1086" w:type="dxa"/>
            <w:shd w:val="clear" w:color="auto" w:fill="auto"/>
            <w:vAlign w:val="center"/>
          </w:tcPr>
          <w:p w14:paraId="2F179BCD"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9.</w:t>
            </w:r>
          </w:p>
        </w:tc>
        <w:tc>
          <w:tcPr>
            <w:tcW w:w="6946" w:type="dxa"/>
            <w:shd w:val="clear" w:color="auto" w:fill="auto"/>
            <w:vAlign w:val="center"/>
          </w:tcPr>
          <w:p w14:paraId="37C0D673"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Fund managers</w:t>
            </w:r>
          </w:p>
        </w:tc>
      </w:tr>
      <w:tr w:rsidR="00024019" w:rsidRPr="006B49BD" w14:paraId="50597481" w14:textId="77777777" w:rsidTr="00BC726E">
        <w:trPr>
          <w:trHeight w:val="567"/>
        </w:trPr>
        <w:tc>
          <w:tcPr>
            <w:tcW w:w="1086" w:type="dxa"/>
            <w:shd w:val="clear" w:color="auto" w:fill="auto"/>
            <w:vAlign w:val="center"/>
          </w:tcPr>
          <w:p w14:paraId="376B8A8B"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10.</w:t>
            </w:r>
          </w:p>
        </w:tc>
        <w:tc>
          <w:tcPr>
            <w:tcW w:w="6946" w:type="dxa"/>
            <w:shd w:val="clear" w:color="auto" w:fill="auto"/>
            <w:vAlign w:val="center"/>
          </w:tcPr>
          <w:p w14:paraId="33AEB4C3"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Stock lending</w:t>
            </w:r>
          </w:p>
        </w:tc>
      </w:tr>
      <w:tr w:rsidR="00024019" w:rsidRPr="006B49BD" w14:paraId="6669671E" w14:textId="77777777" w:rsidTr="00BC726E">
        <w:trPr>
          <w:trHeight w:val="567"/>
        </w:trPr>
        <w:tc>
          <w:tcPr>
            <w:tcW w:w="1086" w:type="dxa"/>
            <w:shd w:val="clear" w:color="auto" w:fill="auto"/>
            <w:vAlign w:val="center"/>
          </w:tcPr>
          <w:p w14:paraId="12D766A3"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11.</w:t>
            </w:r>
          </w:p>
        </w:tc>
        <w:tc>
          <w:tcPr>
            <w:tcW w:w="6946" w:type="dxa"/>
            <w:shd w:val="clear" w:color="auto" w:fill="auto"/>
            <w:vAlign w:val="center"/>
          </w:tcPr>
          <w:p w14:paraId="6C8932A9"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Approach to risk</w:t>
            </w:r>
          </w:p>
        </w:tc>
      </w:tr>
      <w:tr w:rsidR="00024019" w:rsidRPr="006B49BD" w14:paraId="024FA4CE" w14:textId="77777777" w:rsidTr="00BC726E">
        <w:trPr>
          <w:trHeight w:val="567"/>
        </w:trPr>
        <w:tc>
          <w:tcPr>
            <w:tcW w:w="1086" w:type="dxa"/>
            <w:shd w:val="clear" w:color="auto" w:fill="auto"/>
            <w:vAlign w:val="center"/>
          </w:tcPr>
          <w:p w14:paraId="74A5CF20"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12.</w:t>
            </w:r>
          </w:p>
        </w:tc>
        <w:tc>
          <w:tcPr>
            <w:tcW w:w="6946" w:type="dxa"/>
            <w:shd w:val="clear" w:color="auto" w:fill="auto"/>
            <w:vAlign w:val="center"/>
          </w:tcPr>
          <w:p w14:paraId="1807E7AD"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Approach to pooling</w:t>
            </w:r>
          </w:p>
        </w:tc>
      </w:tr>
      <w:tr w:rsidR="00024019" w:rsidRPr="006B49BD" w14:paraId="2157682B" w14:textId="77777777" w:rsidTr="00BC726E">
        <w:trPr>
          <w:trHeight w:val="567"/>
        </w:trPr>
        <w:tc>
          <w:tcPr>
            <w:tcW w:w="1086" w:type="dxa"/>
            <w:shd w:val="clear" w:color="auto" w:fill="auto"/>
          </w:tcPr>
          <w:p w14:paraId="447214DA"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13.</w:t>
            </w:r>
          </w:p>
        </w:tc>
        <w:tc>
          <w:tcPr>
            <w:tcW w:w="6946" w:type="dxa"/>
            <w:shd w:val="clear" w:color="auto" w:fill="auto"/>
            <w:vAlign w:val="center"/>
          </w:tcPr>
          <w:p w14:paraId="6796DADE"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Social, environmental and governance considerations</w:t>
            </w:r>
          </w:p>
        </w:tc>
      </w:tr>
      <w:tr w:rsidR="00024019" w:rsidRPr="006B49BD" w14:paraId="78FD761D" w14:textId="77777777" w:rsidTr="00BC726E">
        <w:trPr>
          <w:trHeight w:val="567"/>
        </w:trPr>
        <w:tc>
          <w:tcPr>
            <w:tcW w:w="1086" w:type="dxa"/>
            <w:shd w:val="clear" w:color="auto" w:fill="auto"/>
          </w:tcPr>
          <w:p w14:paraId="3143F437"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14.</w:t>
            </w:r>
          </w:p>
        </w:tc>
        <w:tc>
          <w:tcPr>
            <w:tcW w:w="6946" w:type="dxa"/>
            <w:shd w:val="clear" w:color="auto" w:fill="auto"/>
            <w:vAlign w:val="center"/>
          </w:tcPr>
          <w:p w14:paraId="16FCBD79"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Exercise of the rights (including voting rights) attaching to investments</w:t>
            </w:r>
          </w:p>
        </w:tc>
      </w:tr>
      <w:tr w:rsidR="00024019" w:rsidRPr="006B49BD" w14:paraId="39508522" w14:textId="77777777" w:rsidTr="00BC726E">
        <w:trPr>
          <w:trHeight w:val="567"/>
        </w:trPr>
        <w:tc>
          <w:tcPr>
            <w:tcW w:w="1086" w:type="dxa"/>
            <w:shd w:val="clear" w:color="auto" w:fill="auto"/>
            <w:vAlign w:val="center"/>
          </w:tcPr>
          <w:p w14:paraId="2EA9285A"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15.</w:t>
            </w:r>
          </w:p>
        </w:tc>
        <w:tc>
          <w:tcPr>
            <w:tcW w:w="6946" w:type="dxa"/>
            <w:shd w:val="clear" w:color="auto" w:fill="auto"/>
            <w:vAlign w:val="center"/>
          </w:tcPr>
          <w:p w14:paraId="2A7DDB3D" w14:textId="77777777" w:rsidR="00024019" w:rsidRPr="006B49BD" w:rsidRDefault="00024019" w:rsidP="006B49BD">
            <w:pPr>
              <w:tabs>
                <w:tab w:val="left" w:pos="709"/>
              </w:tabs>
              <w:spacing w:before="20" w:after="20"/>
              <w:ind w:right="425"/>
              <w:rPr>
                <w:rFonts w:ascii="Arial" w:hAnsi="Arial" w:cs="Arial"/>
                <w:sz w:val="32"/>
                <w:szCs w:val="32"/>
                <w:lang w:val="en-GB"/>
              </w:rPr>
            </w:pPr>
            <w:r w:rsidRPr="006B49BD">
              <w:rPr>
                <w:rFonts w:ascii="Arial" w:hAnsi="Arial" w:cs="Arial"/>
                <w:sz w:val="32"/>
                <w:szCs w:val="32"/>
                <w:lang w:val="en-GB"/>
              </w:rPr>
              <w:t>Stewardship</w:t>
            </w:r>
          </w:p>
        </w:tc>
      </w:tr>
      <w:tr w:rsidR="00024019" w:rsidRPr="006B49BD" w14:paraId="3F9B174F" w14:textId="77777777" w:rsidTr="00BC726E">
        <w:trPr>
          <w:trHeight w:val="567"/>
        </w:trPr>
        <w:tc>
          <w:tcPr>
            <w:tcW w:w="1086" w:type="dxa"/>
            <w:shd w:val="clear" w:color="auto" w:fill="auto"/>
            <w:vAlign w:val="center"/>
          </w:tcPr>
          <w:p w14:paraId="61103840" w14:textId="199BA777" w:rsidR="00024019" w:rsidRPr="006B49BD" w:rsidRDefault="00024019" w:rsidP="006B49BD">
            <w:pPr>
              <w:tabs>
                <w:tab w:val="left" w:pos="709"/>
              </w:tabs>
              <w:spacing w:before="20" w:after="20"/>
              <w:ind w:right="425"/>
              <w:rPr>
                <w:rFonts w:ascii="Arial" w:hAnsi="Arial" w:cs="Arial"/>
                <w:sz w:val="32"/>
                <w:szCs w:val="32"/>
                <w:lang w:val="en-GB"/>
              </w:rPr>
            </w:pPr>
          </w:p>
        </w:tc>
        <w:tc>
          <w:tcPr>
            <w:tcW w:w="6946" w:type="dxa"/>
            <w:shd w:val="clear" w:color="auto" w:fill="auto"/>
            <w:vAlign w:val="center"/>
          </w:tcPr>
          <w:p w14:paraId="464AD35B" w14:textId="03742E9D" w:rsidR="00024019" w:rsidRPr="006B49BD" w:rsidRDefault="00024019" w:rsidP="006B49BD">
            <w:pPr>
              <w:tabs>
                <w:tab w:val="left" w:pos="709"/>
              </w:tabs>
              <w:spacing w:before="20" w:after="20"/>
              <w:ind w:right="425"/>
              <w:rPr>
                <w:rFonts w:ascii="Arial" w:hAnsi="Arial" w:cs="Arial"/>
                <w:sz w:val="32"/>
                <w:szCs w:val="32"/>
                <w:lang w:val="en-GB"/>
              </w:rPr>
            </w:pPr>
          </w:p>
        </w:tc>
      </w:tr>
    </w:tbl>
    <w:p w14:paraId="3BDA15F4" w14:textId="77777777" w:rsidR="00BC726E" w:rsidRDefault="00BC726E"/>
    <w:p w14:paraId="38890CD4" w14:textId="77777777" w:rsidR="00BC726E" w:rsidRDefault="00BC726E" w:rsidP="00BC726E">
      <w:pPr>
        <w:rPr>
          <w:rFonts w:ascii="Arial" w:hAnsi="Arial" w:cs="Arial"/>
          <w:sz w:val="32"/>
          <w:szCs w:val="32"/>
          <w:lang w:val="en-GB"/>
        </w:rPr>
      </w:pPr>
      <w:r>
        <w:br w:type="page"/>
      </w:r>
    </w:p>
    <w:tbl>
      <w:tblPr>
        <w:tblW w:w="0" w:type="auto"/>
        <w:tblInd w:w="959" w:type="dxa"/>
        <w:tblLook w:val="04A0" w:firstRow="1" w:lastRow="0" w:firstColumn="1" w:lastColumn="0" w:noHBand="0" w:noVBand="1"/>
      </w:tblPr>
      <w:tblGrid>
        <w:gridCol w:w="1086"/>
        <w:gridCol w:w="6946"/>
      </w:tblGrid>
      <w:tr w:rsidR="00024019" w:rsidRPr="006B49BD" w14:paraId="18072FA2" w14:textId="77777777" w:rsidTr="00BC726E">
        <w:trPr>
          <w:trHeight w:val="567"/>
        </w:trPr>
        <w:tc>
          <w:tcPr>
            <w:tcW w:w="1086" w:type="dxa"/>
            <w:shd w:val="clear" w:color="auto" w:fill="auto"/>
            <w:vAlign w:val="center"/>
          </w:tcPr>
          <w:p w14:paraId="7CBDFD06" w14:textId="77777777" w:rsidR="00BC726E" w:rsidRDefault="00C4427C">
            <w:r>
              <w:rPr>
                <w:noProof/>
                <w:lang w:val="en-GB" w:eastAsia="en-GB"/>
              </w:rPr>
              <w:lastRenderedPageBreak/>
              <mc:AlternateContent>
                <mc:Choice Requires="wps">
                  <w:drawing>
                    <wp:anchor distT="0" distB="0" distL="114300" distR="114300" simplePos="0" relativeHeight="251657216" behindDoc="0" locked="0" layoutInCell="1" allowOverlap="1" wp14:anchorId="2E330F12" wp14:editId="77D5E380">
                      <wp:simplePos x="0" y="0"/>
                      <wp:positionH relativeFrom="column">
                        <wp:posOffset>-681990</wp:posOffset>
                      </wp:positionH>
                      <wp:positionV relativeFrom="paragraph">
                        <wp:posOffset>-63500</wp:posOffset>
                      </wp:positionV>
                      <wp:extent cx="6296660" cy="736155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361555"/>
                              </a:xfrm>
                              <a:prstGeom prst="rect">
                                <a:avLst/>
                              </a:prstGeom>
                              <a:solidFill>
                                <a:srgbClr val="FFFFFF"/>
                              </a:solidFill>
                              <a:ln w="76200" cmpd="tri">
                                <a:solidFill>
                                  <a:srgbClr val="000000"/>
                                </a:solidFill>
                                <a:miter lim="800000"/>
                                <a:headEnd/>
                                <a:tailEnd/>
                              </a:ln>
                            </wps:spPr>
                            <wps:txbx>
                              <w:txbxContent>
                                <w:p w14:paraId="6B30E4C3" w14:textId="77777777" w:rsidR="00C577C6" w:rsidRDefault="00C577C6"/>
                                <w:p w14:paraId="4DC509D2" w14:textId="77777777" w:rsidR="00C577C6" w:rsidRDefault="00C577C6"/>
                                <w:p w14:paraId="1B16963B" w14:textId="77777777" w:rsidR="00C577C6" w:rsidRPr="00BC726E" w:rsidRDefault="00C577C6" w:rsidP="00BC726E">
                                  <w:pPr>
                                    <w:jc w:val="center"/>
                                    <w:rPr>
                                      <w:rFonts w:ascii="Arial" w:hAnsi="Arial" w:cs="Arial"/>
                                      <w:sz w:val="40"/>
                                    </w:rPr>
                                  </w:pPr>
                                  <w:r w:rsidRPr="00BC726E">
                                    <w:rPr>
                                      <w:rFonts w:ascii="Arial" w:hAnsi="Arial" w:cs="Arial"/>
                                      <w:sz w:val="40"/>
                                    </w:rPr>
                                    <w:t>Executive Summary</w:t>
                                  </w:r>
                                </w:p>
                                <w:p w14:paraId="4C8E2036" w14:textId="77777777" w:rsidR="00C577C6" w:rsidRPr="00BC726E" w:rsidRDefault="00C577C6">
                                  <w:pPr>
                                    <w:rPr>
                                      <w:rFonts w:ascii="Arial" w:hAnsi="Arial" w:cs="Arial"/>
                                    </w:rPr>
                                  </w:pPr>
                                </w:p>
                                <w:p w14:paraId="03769C1A" w14:textId="77777777" w:rsidR="00C577C6" w:rsidRPr="00BC726E" w:rsidRDefault="00C577C6">
                                  <w:pPr>
                                    <w:rPr>
                                      <w:rFonts w:ascii="Arial" w:hAnsi="Arial" w:cs="Arial"/>
                                      <w:szCs w:val="24"/>
                                    </w:rPr>
                                  </w:pPr>
                                </w:p>
                                <w:p w14:paraId="784F34CF" w14:textId="77777777" w:rsidR="00C577C6" w:rsidRPr="00BC726E" w:rsidRDefault="00C577C6" w:rsidP="00BC726E">
                                  <w:pPr>
                                    <w:jc w:val="both"/>
                                    <w:rPr>
                                      <w:rFonts w:ascii="Arial" w:hAnsi="Arial" w:cs="Arial"/>
                                      <w:sz w:val="28"/>
                                      <w:szCs w:val="24"/>
                                    </w:rPr>
                                  </w:pPr>
                                  <w:r w:rsidRPr="00BC726E">
                                    <w:rPr>
                                      <w:rFonts w:ascii="Arial" w:hAnsi="Arial" w:cs="Arial"/>
                                      <w:sz w:val="28"/>
                                      <w:szCs w:val="24"/>
                                    </w:rPr>
                                    <w:t>The London Borough of Harrow Pension Fund Investment Strategy Statement has been prepared in accordance with the relevant Local Government Pension Scheme Regulations.</w:t>
                                  </w:r>
                                </w:p>
                                <w:p w14:paraId="11A9DF37" w14:textId="77777777" w:rsidR="00C577C6" w:rsidRPr="00BC726E" w:rsidRDefault="00C577C6" w:rsidP="00BC726E">
                                  <w:pPr>
                                    <w:jc w:val="both"/>
                                    <w:rPr>
                                      <w:rFonts w:ascii="Arial" w:hAnsi="Arial" w:cs="Arial"/>
                                      <w:sz w:val="28"/>
                                      <w:szCs w:val="24"/>
                                    </w:rPr>
                                  </w:pPr>
                                </w:p>
                                <w:p w14:paraId="3CE4F7C1" w14:textId="77777777" w:rsidR="00C577C6" w:rsidRPr="00BC726E" w:rsidRDefault="00C577C6" w:rsidP="00BC726E">
                                  <w:pPr>
                                    <w:jc w:val="both"/>
                                    <w:rPr>
                                      <w:rFonts w:ascii="Arial" w:hAnsi="Arial" w:cs="Arial"/>
                                      <w:sz w:val="28"/>
                                      <w:szCs w:val="24"/>
                                    </w:rPr>
                                  </w:pPr>
                                  <w:r w:rsidRPr="00BC726E">
                                    <w:rPr>
                                      <w:rFonts w:ascii="Arial" w:hAnsi="Arial" w:cs="Arial"/>
                                      <w:sz w:val="28"/>
                                      <w:szCs w:val="24"/>
                                    </w:rPr>
                                    <w:t>The objective of the Fund is to provide pension and lump sum benefits for its members and their dependants.</w:t>
                                  </w:r>
                                </w:p>
                                <w:p w14:paraId="3701787C" w14:textId="77777777" w:rsidR="00C577C6" w:rsidRPr="00BC726E" w:rsidRDefault="00C577C6" w:rsidP="00BC726E">
                                  <w:pPr>
                                    <w:jc w:val="both"/>
                                    <w:rPr>
                                      <w:rFonts w:ascii="Arial" w:hAnsi="Arial" w:cs="Arial"/>
                                      <w:sz w:val="28"/>
                                      <w:szCs w:val="24"/>
                                    </w:rPr>
                                  </w:pPr>
                                </w:p>
                                <w:p w14:paraId="4E7810ED" w14:textId="77777777" w:rsidR="00C577C6" w:rsidRPr="00BC726E" w:rsidRDefault="00C577C6" w:rsidP="00BC726E">
                                  <w:pPr>
                                    <w:jc w:val="both"/>
                                    <w:rPr>
                                      <w:rFonts w:ascii="Arial" w:hAnsi="Arial" w:cs="Arial"/>
                                      <w:sz w:val="28"/>
                                      <w:szCs w:val="24"/>
                                    </w:rPr>
                                  </w:pPr>
                                  <w:r w:rsidRPr="00BC726E">
                                    <w:rPr>
                                      <w:rFonts w:ascii="Arial" w:hAnsi="Arial" w:cs="Arial"/>
                                      <w:sz w:val="28"/>
                                      <w:szCs w:val="24"/>
                                    </w:rPr>
                                    <w:t>To assist in the achievement of this objective the Fund makes investments in accordance with:</w:t>
                                  </w:r>
                                </w:p>
                                <w:p w14:paraId="6F2E32CE" w14:textId="77777777" w:rsidR="00C577C6" w:rsidRPr="00BC726E" w:rsidRDefault="00C577C6" w:rsidP="00BC726E">
                                  <w:pPr>
                                    <w:jc w:val="both"/>
                                    <w:rPr>
                                      <w:rFonts w:ascii="Arial" w:hAnsi="Arial" w:cs="Arial"/>
                                      <w:sz w:val="28"/>
                                      <w:szCs w:val="24"/>
                                    </w:rPr>
                                  </w:pPr>
                                </w:p>
                                <w:p w14:paraId="5A5FF974" w14:textId="77777777" w:rsidR="00C577C6" w:rsidRPr="00BC726E" w:rsidRDefault="00C577C6" w:rsidP="00BC726E">
                                  <w:pPr>
                                    <w:numPr>
                                      <w:ilvl w:val="0"/>
                                      <w:numId w:val="23"/>
                                    </w:numPr>
                                    <w:spacing w:line="480" w:lineRule="auto"/>
                                    <w:jc w:val="both"/>
                                    <w:rPr>
                                      <w:rFonts w:ascii="Arial" w:hAnsi="Arial" w:cs="Arial"/>
                                      <w:sz w:val="28"/>
                                      <w:szCs w:val="24"/>
                                    </w:rPr>
                                  </w:pPr>
                                  <w:r w:rsidRPr="00BC726E">
                                    <w:rPr>
                                      <w:rFonts w:ascii="Arial" w:hAnsi="Arial" w:cs="Arial"/>
                                      <w:sz w:val="28"/>
                                      <w:szCs w:val="24"/>
                                    </w:rPr>
                                    <w:t>its investment beliefs;</w:t>
                                  </w:r>
                                </w:p>
                                <w:p w14:paraId="2EF1B148" w14:textId="77777777" w:rsidR="00C577C6" w:rsidRDefault="00C577C6" w:rsidP="00D123D6">
                                  <w:pPr>
                                    <w:numPr>
                                      <w:ilvl w:val="0"/>
                                      <w:numId w:val="23"/>
                                    </w:numPr>
                                    <w:jc w:val="both"/>
                                    <w:rPr>
                                      <w:rFonts w:ascii="Arial" w:hAnsi="Arial" w:cs="Arial"/>
                                      <w:sz w:val="28"/>
                                      <w:szCs w:val="24"/>
                                    </w:rPr>
                                  </w:pPr>
                                  <w:r w:rsidRPr="00BC726E">
                                    <w:rPr>
                                      <w:rFonts w:ascii="Arial" w:hAnsi="Arial" w:cs="Arial"/>
                                      <w:sz w:val="28"/>
                                      <w:szCs w:val="24"/>
                                    </w:rPr>
                                    <w:t>its asset allocation strategy reflecting its views on the suitability of particular investments and types of investments;</w:t>
                                  </w:r>
                                </w:p>
                                <w:p w14:paraId="092ADE58" w14:textId="77777777" w:rsidR="00C577C6" w:rsidRPr="00BC726E" w:rsidRDefault="00C577C6" w:rsidP="00D123D6">
                                  <w:pPr>
                                    <w:ind w:left="720"/>
                                    <w:jc w:val="both"/>
                                    <w:rPr>
                                      <w:rFonts w:ascii="Arial" w:hAnsi="Arial" w:cs="Arial"/>
                                      <w:sz w:val="28"/>
                                      <w:szCs w:val="24"/>
                                    </w:rPr>
                                  </w:pPr>
                                </w:p>
                                <w:p w14:paraId="4CA07883" w14:textId="77777777" w:rsidR="00C577C6" w:rsidRPr="00BC726E" w:rsidRDefault="00C577C6" w:rsidP="00BC726E">
                                  <w:pPr>
                                    <w:numPr>
                                      <w:ilvl w:val="0"/>
                                      <w:numId w:val="23"/>
                                    </w:numPr>
                                    <w:spacing w:line="480" w:lineRule="auto"/>
                                    <w:jc w:val="both"/>
                                    <w:rPr>
                                      <w:rFonts w:ascii="Arial" w:hAnsi="Arial" w:cs="Arial"/>
                                      <w:sz w:val="28"/>
                                      <w:szCs w:val="24"/>
                                    </w:rPr>
                                  </w:pPr>
                                  <w:r w:rsidRPr="00BC726E">
                                    <w:rPr>
                                      <w:rFonts w:ascii="Arial" w:hAnsi="Arial" w:cs="Arial"/>
                                      <w:sz w:val="28"/>
                                      <w:szCs w:val="24"/>
                                    </w:rPr>
                                    <w:t>its approach to risk, including its measurement and management;</w:t>
                                  </w:r>
                                </w:p>
                                <w:p w14:paraId="433C0950" w14:textId="77777777" w:rsidR="00C577C6" w:rsidRPr="00BC726E" w:rsidRDefault="00C577C6" w:rsidP="00BC726E">
                                  <w:pPr>
                                    <w:numPr>
                                      <w:ilvl w:val="0"/>
                                      <w:numId w:val="23"/>
                                    </w:numPr>
                                    <w:spacing w:line="480" w:lineRule="auto"/>
                                    <w:jc w:val="both"/>
                                    <w:rPr>
                                      <w:rFonts w:ascii="Arial" w:hAnsi="Arial" w:cs="Arial"/>
                                      <w:sz w:val="28"/>
                                      <w:szCs w:val="24"/>
                                    </w:rPr>
                                  </w:pPr>
                                  <w:r w:rsidRPr="00BC726E">
                                    <w:rPr>
                                      <w:rFonts w:ascii="Arial" w:hAnsi="Arial" w:cs="Arial"/>
                                      <w:sz w:val="28"/>
                                      <w:szCs w:val="24"/>
                                    </w:rPr>
                                    <w:t>its approach to pooling;</w:t>
                                  </w:r>
                                </w:p>
                                <w:p w14:paraId="713E2617" w14:textId="0A997576" w:rsidR="00C577C6" w:rsidRPr="00BC726E" w:rsidRDefault="00C577C6" w:rsidP="00BC726E">
                                  <w:pPr>
                                    <w:numPr>
                                      <w:ilvl w:val="0"/>
                                      <w:numId w:val="23"/>
                                    </w:numPr>
                                    <w:spacing w:line="480" w:lineRule="auto"/>
                                    <w:jc w:val="both"/>
                                    <w:rPr>
                                      <w:rFonts w:ascii="Arial" w:hAnsi="Arial" w:cs="Arial"/>
                                      <w:sz w:val="28"/>
                                      <w:szCs w:val="24"/>
                                    </w:rPr>
                                  </w:pPr>
                                  <w:r w:rsidRPr="00BC726E">
                                    <w:rPr>
                                      <w:rFonts w:ascii="Arial" w:hAnsi="Arial" w:cs="Arial"/>
                                      <w:sz w:val="28"/>
                                      <w:szCs w:val="24"/>
                                    </w:rPr>
                                    <w:t xml:space="preserve">its policy on social, environmental and governance considerations; </w:t>
                                  </w:r>
                                  <w:r>
                                    <w:rPr>
                                      <w:rFonts w:ascii="Arial" w:hAnsi="Arial" w:cs="Arial"/>
                                      <w:sz w:val="28"/>
                                      <w:szCs w:val="24"/>
                                    </w:rPr>
                                    <w:t>and</w:t>
                                  </w:r>
                                  <w:r w:rsidRPr="00BC726E">
                                    <w:rPr>
                                      <w:rFonts w:ascii="Arial" w:hAnsi="Arial" w:cs="Arial"/>
                                      <w:sz w:val="28"/>
                                      <w:szCs w:val="24"/>
                                    </w:rPr>
                                    <w:t xml:space="preserve"> </w:t>
                                  </w:r>
                                </w:p>
                                <w:p w14:paraId="78482D00" w14:textId="651F5DDA" w:rsidR="00C577C6" w:rsidRDefault="00C577C6" w:rsidP="00D123D6">
                                  <w:pPr>
                                    <w:numPr>
                                      <w:ilvl w:val="0"/>
                                      <w:numId w:val="23"/>
                                    </w:numPr>
                                    <w:jc w:val="both"/>
                                    <w:rPr>
                                      <w:rFonts w:ascii="Arial" w:hAnsi="Arial" w:cs="Arial"/>
                                      <w:sz w:val="28"/>
                                      <w:szCs w:val="24"/>
                                    </w:rPr>
                                  </w:pPr>
                                  <w:r w:rsidRPr="00BC726E">
                                    <w:rPr>
                                      <w:rFonts w:ascii="Arial" w:hAnsi="Arial" w:cs="Arial"/>
                                      <w:sz w:val="28"/>
                                      <w:szCs w:val="24"/>
                                    </w:rPr>
                                    <w:t>its policy as regards the stewardship of its assets including the exercise of voting rights</w:t>
                                  </w:r>
                                  <w:r>
                                    <w:rPr>
                                      <w:rFonts w:ascii="Arial" w:hAnsi="Arial" w:cs="Arial"/>
                                      <w:sz w:val="28"/>
                                      <w:szCs w:val="24"/>
                                    </w:rPr>
                                    <w:t>.</w:t>
                                  </w:r>
                                </w:p>
                                <w:p w14:paraId="03F34187" w14:textId="77777777" w:rsidR="00C577C6" w:rsidRPr="00BC726E" w:rsidRDefault="00C577C6" w:rsidP="00D123D6">
                                  <w:pPr>
                                    <w:ind w:left="720"/>
                                    <w:jc w:val="both"/>
                                    <w:rPr>
                                      <w:rFonts w:ascii="Arial" w:hAnsi="Arial" w:cs="Arial"/>
                                      <w:sz w:val="28"/>
                                      <w:szCs w:val="24"/>
                                    </w:rPr>
                                  </w:pPr>
                                </w:p>
                                <w:p w14:paraId="26259A82" w14:textId="433847B6" w:rsidR="00C577C6" w:rsidRPr="001F4FE1" w:rsidRDefault="00C577C6" w:rsidP="00642DC1">
                                  <w:pPr>
                                    <w:spacing w:line="480" w:lineRule="auto"/>
                                    <w:ind w:left="720"/>
                                    <w:jc w:val="both"/>
                                    <w:rPr>
                                      <w:rFonts w:ascii="Arial" w:hAnsi="Arial" w:cs="Arial"/>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30F12" id="Rectangle 4" o:spid="_x0000_s1026" style="position:absolute;margin-left:-53.7pt;margin-top:-5pt;width:495.8pt;height:57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" strokeweight="6pt">
                      <v:stroke linestyle="thickBetweenThin"/>
                      <v:textbox>
                        <w:txbxContent>
                          <w:p w14:paraId="6B30E4C3" w14:textId="77777777" w:rsidR="00C577C6" w:rsidRDefault="00C577C6"/>
                          <w:p w14:paraId="4DC509D2" w14:textId="77777777" w:rsidR="00C577C6" w:rsidRDefault="00C577C6"/>
                          <w:p w14:paraId="1B16963B" w14:textId="77777777" w:rsidR="00C577C6" w:rsidRPr="00BC726E" w:rsidRDefault="00C577C6" w:rsidP="00BC726E">
                            <w:pPr>
                              <w:jc w:val="center"/>
                              <w:rPr>
                                <w:rFonts w:ascii="Arial" w:hAnsi="Arial" w:cs="Arial"/>
                                <w:sz w:val="40"/>
                              </w:rPr>
                            </w:pPr>
                            <w:r w:rsidRPr="00BC726E">
                              <w:rPr>
                                <w:rFonts w:ascii="Arial" w:hAnsi="Arial" w:cs="Arial"/>
                                <w:sz w:val="40"/>
                              </w:rPr>
                              <w:t>Executive Summary</w:t>
                            </w:r>
                          </w:p>
                          <w:p w14:paraId="4C8E2036" w14:textId="77777777" w:rsidR="00C577C6" w:rsidRPr="00BC726E" w:rsidRDefault="00C577C6">
                            <w:pPr>
                              <w:rPr>
                                <w:rFonts w:ascii="Arial" w:hAnsi="Arial" w:cs="Arial"/>
                              </w:rPr>
                            </w:pPr>
                          </w:p>
                          <w:p w14:paraId="03769C1A" w14:textId="77777777" w:rsidR="00C577C6" w:rsidRPr="00BC726E" w:rsidRDefault="00C577C6">
                            <w:pPr>
                              <w:rPr>
                                <w:rFonts w:ascii="Arial" w:hAnsi="Arial" w:cs="Arial"/>
                                <w:szCs w:val="24"/>
                              </w:rPr>
                            </w:pPr>
                          </w:p>
                          <w:p w14:paraId="784F34CF" w14:textId="77777777" w:rsidR="00C577C6" w:rsidRPr="00BC726E" w:rsidRDefault="00C577C6" w:rsidP="00BC726E">
                            <w:pPr>
                              <w:jc w:val="both"/>
                              <w:rPr>
                                <w:rFonts w:ascii="Arial" w:hAnsi="Arial" w:cs="Arial"/>
                                <w:sz w:val="28"/>
                                <w:szCs w:val="24"/>
                              </w:rPr>
                            </w:pPr>
                            <w:r w:rsidRPr="00BC726E">
                              <w:rPr>
                                <w:rFonts w:ascii="Arial" w:hAnsi="Arial" w:cs="Arial"/>
                                <w:sz w:val="28"/>
                                <w:szCs w:val="24"/>
                              </w:rPr>
                              <w:t>The London Borough of Harrow Pension Fund Investment Strategy Statement has been prepared in accordance with the relevant Local Government Pension Scheme Regulations.</w:t>
                            </w:r>
                          </w:p>
                          <w:p w14:paraId="11A9DF37" w14:textId="77777777" w:rsidR="00C577C6" w:rsidRPr="00BC726E" w:rsidRDefault="00C577C6" w:rsidP="00BC726E">
                            <w:pPr>
                              <w:jc w:val="both"/>
                              <w:rPr>
                                <w:rFonts w:ascii="Arial" w:hAnsi="Arial" w:cs="Arial"/>
                                <w:sz w:val="28"/>
                                <w:szCs w:val="24"/>
                              </w:rPr>
                            </w:pPr>
                          </w:p>
                          <w:p w14:paraId="3CE4F7C1" w14:textId="77777777" w:rsidR="00C577C6" w:rsidRPr="00BC726E" w:rsidRDefault="00C577C6" w:rsidP="00BC726E">
                            <w:pPr>
                              <w:jc w:val="both"/>
                              <w:rPr>
                                <w:rFonts w:ascii="Arial" w:hAnsi="Arial" w:cs="Arial"/>
                                <w:sz w:val="28"/>
                                <w:szCs w:val="24"/>
                              </w:rPr>
                            </w:pPr>
                            <w:r w:rsidRPr="00BC726E">
                              <w:rPr>
                                <w:rFonts w:ascii="Arial" w:hAnsi="Arial" w:cs="Arial"/>
                                <w:sz w:val="28"/>
                                <w:szCs w:val="24"/>
                              </w:rPr>
                              <w:t>The objective of the Fund is to provide pension and lump sum benefits for its members and their dependants.</w:t>
                            </w:r>
                          </w:p>
                          <w:p w14:paraId="3701787C" w14:textId="77777777" w:rsidR="00C577C6" w:rsidRPr="00BC726E" w:rsidRDefault="00C577C6" w:rsidP="00BC726E">
                            <w:pPr>
                              <w:jc w:val="both"/>
                              <w:rPr>
                                <w:rFonts w:ascii="Arial" w:hAnsi="Arial" w:cs="Arial"/>
                                <w:sz w:val="28"/>
                                <w:szCs w:val="24"/>
                              </w:rPr>
                            </w:pPr>
                          </w:p>
                          <w:p w14:paraId="4E7810ED" w14:textId="77777777" w:rsidR="00C577C6" w:rsidRPr="00BC726E" w:rsidRDefault="00C577C6" w:rsidP="00BC726E">
                            <w:pPr>
                              <w:jc w:val="both"/>
                              <w:rPr>
                                <w:rFonts w:ascii="Arial" w:hAnsi="Arial" w:cs="Arial"/>
                                <w:sz w:val="28"/>
                                <w:szCs w:val="24"/>
                              </w:rPr>
                            </w:pPr>
                            <w:r w:rsidRPr="00BC726E">
                              <w:rPr>
                                <w:rFonts w:ascii="Arial" w:hAnsi="Arial" w:cs="Arial"/>
                                <w:sz w:val="28"/>
                                <w:szCs w:val="24"/>
                              </w:rPr>
                              <w:t>To assist in the achievement of this objective the Fund makes investments in accordance with:</w:t>
                            </w:r>
                          </w:p>
                          <w:p w14:paraId="6F2E32CE" w14:textId="77777777" w:rsidR="00C577C6" w:rsidRPr="00BC726E" w:rsidRDefault="00C577C6" w:rsidP="00BC726E">
                            <w:pPr>
                              <w:jc w:val="both"/>
                              <w:rPr>
                                <w:rFonts w:ascii="Arial" w:hAnsi="Arial" w:cs="Arial"/>
                                <w:sz w:val="28"/>
                                <w:szCs w:val="24"/>
                              </w:rPr>
                            </w:pPr>
                          </w:p>
                          <w:p w14:paraId="5A5FF974" w14:textId="77777777" w:rsidR="00C577C6" w:rsidRPr="00BC726E" w:rsidRDefault="00C577C6" w:rsidP="00BC726E">
                            <w:pPr>
                              <w:numPr>
                                <w:ilvl w:val="0"/>
                                <w:numId w:val="23"/>
                              </w:numPr>
                              <w:spacing w:line="480" w:lineRule="auto"/>
                              <w:jc w:val="both"/>
                              <w:rPr>
                                <w:rFonts w:ascii="Arial" w:hAnsi="Arial" w:cs="Arial"/>
                                <w:sz w:val="28"/>
                                <w:szCs w:val="24"/>
                              </w:rPr>
                            </w:pPr>
                            <w:r w:rsidRPr="00BC726E">
                              <w:rPr>
                                <w:rFonts w:ascii="Arial" w:hAnsi="Arial" w:cs="Arial"/>
                                <w:sz w:val="28"/>
                                <w:szCs w:val="24"/>
                              </w:rPr>
                              <w:t>its investment beliefs;</w:t>
                            </w:r>
                          </w:p>
                          <w:p w14:paraId="2EF1B148" w14:textId="77777777" w:rsidR="00C577C6" w:rsidRDefault="00C577C6" w:rsidP="00D123D6">
                            <w:pPr>
                              <w:numPr>
                                <w:ilvl w:val="0"/>
                                <w:numId w:val="23"/>
                              </w:numPr>
                              <w:jc w:val="both"/>
                              <w:rPr>
                                <w:rFonts w:ascii="Arial" w:hAnsi="Arial" w:cs="Arial"/>
                                <w:sz w:val="28"/>
                                <w:szCs w:val="24"/>
                              </w:rPr>
                            </w:pPr>
                            <w:r w:rsidRPr="00BC726E">
                              <w:rPr>
                                <w:rFonts w:ascii="Arial" w:hAnsi="Arial" w:cs="Arial"/>
                                <w:sz w:val="28"/>
                                <w:szCs w:val="24"/>
                              </w:rPr>
                              <w:t>its asset allocation strategy reflecting its views on the suitability of particular investments and types of investments;</w:t>
                            </w:r>
                          </w:p>
                          <w:p w14:paraId="092ADE58" w14:textId="77777777" w:rsidR="00C577C6" w:rsidRPr="00BC726E" w:rsidRDefault="00C577C6" w:rsidP="00D123D6">
                            <w:pPr>
                              <w:ind w:left="720"/>
                              <w:jc w:val="both"/>
                              <w:rPr>
                                <w:rFonts w:ascii="Arial" w:hAnsi="Arial" w:cs="Arial"/>
                                <w:sz w:val="28"/>
                                <w:szCs w:val="24"/>
                              </w:rPr>
                            </w:pPr>
                          </w:p>
                          <w:p w14:paraId="4CA07883" w14:textId="77777777" w:rsidR="00C577C6" w:rsidRPr="00BC726E" w:rsidRDefault="00C577C6" w:rsidP="00BC726E">
                            <w:pPr>
                              <w:numPr>
                                <w:ilvl w:val="0"/>
                                <w:numId w:val="23"/>
                              </w:numPr>
                              <w:spacing w:line="480" w:lineRule="auto"/>
                              <w:jc w:val="both"/>
                              <w:rPr>
                                <w:rFonts w:ascii="Arial" w:hAnsi="Arial" w:cs="Arial"/>
                                <w:sz w:val="28"/>
                                <w:szCs w:val="24"/>
                              </w:rPr>
                            </w:pPr>
                            <w:r w:rsidRPr="00BC726E">
                              <w:rPr>
                                <w:rFonts w:ascii="Arial" w:hAnsi="Arial" w:cs="Arial"/>
                                <w:sz w:val="28"/>
                                <w:szCs w:val="24"/>
                              </w:rPr>
                              <w:t>its approach to risk, including its measurement and management;</w:t>
                            </w:r>
                          </w:p>
                          <w:p w14:paraId="433C0950" w14:textId="77777777" w:rsidR="00C577C6" w:rsidRPr="00BC726E" w:rsidRDefault="00C577C6" w:rsidP="00BC726E">
                            <w:pPr>
                              <w:numPr>
                                <w:ilvl w:val="0"/>
                                <w:numId w:val="23"/>
                              </w:numPr>
                              <w:spacing w:line="480" w:lineRule="auto"/>
                              <w:jc w:val="both"/>
                              <w:rPr>
                                <w:rFonts w:ascii="Arial" w:hAnsi="Arial" w:cs="Arial"/>
                                <w:sz w:val="28"/>
                                <w:szCs w:val="24"/>
                              </w:rPr>
                            </w:pPr>
                            <w:r w:rsidRPr="00BC726E">
                              <w:rPr>
                                <w:rFonts w:ascii="Arial" w:hAnsi="Arial" w:cs="Arial"/>
                                <w:sz w:val="28"/>
                                <w:szCs w:val="24"/>
                              </w:rPr>
                              <w:t>its approach to pooling;</w:t>
                            </w:r>
                          </w:p>
                          <w:p w14:paraId="713E2617" w14:textId="0A997576" w:rsidR="00C577C6" w:rsidRPr="00BC726E" w:rsidRDefault="00C577C6" w:rsidP="00BC726E">
                            <w:pPr>
                              <w:numPr>
                                <w:ilvl w:val="0"/>
                                <w:numId w:val="23"/>
                              </w:numPr>
                              <w:spacing w:line="480" w:lineRule="auto"/>
                              <w:jc w:val="both"/>
                              <w:rPr>
                                <w:rFonts w:ascii="Arial" w:hAnsi="Arial" w:cs="Arial"/>
                                <w:sz w:val="28"/>
                                <w:szCs w:val="24"/>
                              </w:rPr>
                            </w:pPr>
                            <w:r w:rsidRPr="00BC726E">
                              <w:rPr>
                                <w:rFonts w:ascii="Arial" w:hAnsi="Arial" w:cs="Arial"/>
                                <w:sz w:val="28"/>
                                <w:szCs w:val="24"/>
                              </w:rPr>
                              <w:t xml:space="preserve">its policy on social, environmental and governance considerations; </w:t>
                            </w:r>
                            <w:r>
                              <w:rPr>
                                <w:rFonts w:ascii="Arial" w:hAnsi="Arial" w:cs="Arial"/>
                                <w:sz w:val="28"/>
                                <w:szCs w:val="24"/>
                              </w:rPr>
                              <w:t>and</w:t>
                            </w:r>
                            <w:r w:rsidRPr="00BC726E">
                              <w:rPr>
                                <w:rFonts w:ascii="Arial" w:hAnsi="Arial" w:cs="Arial"/>
                                <w:sz w:val="28"/>
                                <w:szCs w:val="24"/>
                              </w:rPr>
                              <w:t xml:space="preserve"> </w:t>
                            </w:r>
                          </w:p>
                          <w:p w14:paraId="78482D00" w14:textId="651F5DDA" w:rsidR="00C577C6" w:rsidRDefault="00C577C6" w:rsidP="00D123D6">
                            <w:pPr>
                              <w:numPr>
                                <w:ilvl w:val="0"/>
                                <w:numId w:val="23"/>
                              </w:numPr>
                              <w:jc w:val="both"/>
                              <w:rPr>
                                <w:rFonts w:ascii="Arial" w:hAnsi="Arial" w:cs="Arial"/>
                                <w:sz w:val="28"/>
                                <w:szCs w:val="24"/>
                              </w:rPr>
                            </w:pPr>
                            <w:r w:rsidRPr="00BC726E">
                              <w:rPr>
                                <w:rFonts w:ascii="Arial" w:hAnsi="Arial" w:cs="Arial"/>
                                <w:sz w:val="28"/>
                                <w:szCs w:val="24"/>
                              </w:rPr>
                              <w:t>its policy as regards the stewardship of its assets including the exercise of voting rights</w:t>
                            </w:r>
                            <w:r>
                              <w:rPr>
                                <w:rFonts w:ascii="Arial" w:hAnsi="Arial" w:cs="Arial"/>
                                <w:sz w:val="28"/>
                                <w:szCs w:val="24"/>
                              </w:rPr>
                              <w:t>.</w:t>
                            </w:r>
                          </w:p>
                          <w:p w14:paraId="03F34187" w14:textId="77777777" w:rsidR="00C577C6" w:rsidRPr="00BC726E" w:rsidRDefault="00C577C6" w:rsidP="00D123D6">
                            <w:pPr>
                              <w:ind w:left="720"/>
                              <w:jc w:val="both"/>
                              <w:rPr>
                                <w:rFonts w:ascii="Arial" w:hAnsi="Arial" w:cs="Arial"/>
                                <w:sz w:val="28"/>
                                <w:szCs w:val="24"/>
                              </w:rPr>
                            </w:pPr>
                          </w:p>
                          <w:p w14:paraId="26259A82" w14:textId="433847B6" w:rsidR="00C577C6" w:rsidRPr="001F4FE1" w:rsidRDefault="00C577C6" w:rsidP="00642DC1">
                            <w:pPr>
                              <w:spacing w:line="480" w:lineRule="auto"/>
                              <w:ind w:left="720"/>
                              <w:jc w:val="both"/>
                              <w:rPr>
                                <w:rFonts w:ascii="Arial" w:hAnsi="Arial" w:cs="Arial"/>
                                <w:sz w:val="28"/>
                                <w:szCs w:val="24"/>
                              </w:rPr>
                            </w:pPr>
                          </w:p>
                        </w:txbxContent>
                      </v:textbox>
                    </v:rect>
                  </w:pict>
                </mc:Fallback>
              </mc:AlternateContent>
            </w:r>
            <w:r w:rsidR="00BC726E">
              <w:br w:type="page"/>
            </w:r>
          </w:p>
          <w:p w14:paraId="1FA0D17B" w14:textId="77777777" w:rsidR="00024019" w:rsidRPr="006B49BD" w:rsidRDefault="00024019" w:rsidP="006B49BD">
            <w:pPr>
              <w:tabs>
                <w:tab w:val="left" w:pos="709"/>
              </w:tabs>
              <w:spacing w:before="20" w:after="20"/>
              <w:ind w:right="425"/>
              <w:rPr>
                <w:rFonts w:ascii="Arial" w:hAnsi="Arial" w:cs="Arial"/>
                <w:sz w:val="32"/>
                <w:szCs w:val="32"/>
                <w:lang w:val="en-GB"/>
              </w:rPr>
            </w:pPr>
          </w:p>
        </w:tc>
        <w:tc>
          <w:tcPr>
            <w:tcW w:w="6946" w:type="dxa"/>
            <w:shd w:val="clear" w:color="auto" w:fill="auto"/>
            <w:vAlign w:val="center"/>
          </w:tcPr>
          <w:p w14:paraId="779130B9" w14:textId="77777777" w:rsidR="00024019" w:rsidRPr="006B49BD" w:rsidRDefault="00024019" w:rsidP="006B49BD">
            <w:pPr>
              <w:tabs>
                <w:tab w:val="left" w:pos="709"/>
              </w:tabs>
              <w:spacing w:before="20" w:after="20"/>
              <w:ind w:right="425"/>
              <w:rPr>
                <w:rFonts w:ascii="Arial" w:hAnsi="Arial" w:cs="Arial"/>
                <w:sz w:val="32"/>
                <w:szCs w:val="32"/>
                <w:lang w:val="en-GB"/>
              </w:rPr>
            </w:pPr>
          </w:p>
        </w:tc>
      </w:tr>
    </w:tbl>
    <w:p w14:paraId="66BB083B" w14:textId="77777777" w:rsidR="00B3636A" w:rsidRPr="00AF49ED" w:rsidRDefault="00030591" w:rsidP="00B72978">
      <w:pPr>
        <w:tabs>
          <w:tab w:val="left" w:pos="709"/>
        </w:tabs>
        <w:ind w:right="425"/>
        <w:rPr>
          <w:noProof/>
          <w:szCs w:val="24"/>
          <w:highlight w:val="red"/>
        </w:rPr>
      </w:pPr>
      <w:r>
        <w:rPr>
          <w:rFonts w:ascii="Arial" w:hAnsi="Arial"/>
          <w:highlight w:val="red"/>
          <w:lang w:val="en-GB"/>
        </w:rPr>
        <w:br w:type="page"/>
      </w:r>
    </w:p>
    <w:p w14:paraId="3037A9FC" w14:textId="77777777" w:rsidR="0030616C" w:rsidRPr="00F007A1" w:rsidRDefault="0029172F" w:rsidP="004B5F6A">
      <w:pPr>
        <w:pStyle w:val="Heading2"/>
        <w:numPr>
          <w:ilvl w:val="0"/>
          <w:numId w:val="12"/>
        </w:numPr>
        <w:ind w:right="425" w:hanging="720"/>
        <w:jc w:val="both"/>
        <w:rPr>
          <w:rFonts w:ascii="Arial" w:hAnsi="Arial" w:cs="Arial"/>
          <w:sz w:val="28"/>
          <w:szCs w:val="28"/>
        </w:rPr>
      </w:pPr>
      <w:bookmarkStart w:id="0" w:name="_Toc398544554"/>
      <w:r w:rsidRPr="001F4FE1">
        <w:rPr>
          <w:rFonts w:ascii="Arial" w:hAnsi="Arial" w:cs="Arial"/>
          <w:sz w:val="28"/>
          <w:szCs w:val="28"/>
        </w:rPr>
        <w:lastRenderedPageBreak/>
        <w:t>I</w:t>
      </w:r>
      <w:r w:rsidR="0030616C" w:rsidRPr="001F4FE1">
        <w:rPr>
          <w:rFonts w:ascii="Arial" w:hAnsi="Arial" w:cs="Arial"/>
          <w:sz w:val="28"/>
          <w:szCs w:val="28"/>
        </w:rPr>
        <w:t>ntroduction</w:t>
      </w:r>
      <w:bookmarkEnd w:id="0"/>
      <w:r w:rsidR="00472F4E" w:rsidRPr="00F007A1">
        <w:rPr>
          <w:rFonts w:ascii="Arial" w:hAnsi="Arial" w:cs="Arial"/>
          <w:sz w:val="28"/>
          <w:szCs w:val="28"/>
        </w:rPr>
        <w:t xml:space="preserve"> </w:t>
      </w:r>
    </w:p>
    <w:p w14:paraId="6280E743" w14:textId="77777777" w:rsidR="0030616C" w:rsidRPr="009617B1" w:rsidRDefault="0030616C">
      <w:pPr>
        <w:ind w:left="567" w:right="425"/>
        <w:jc w:val="both"/>
        <w:rPr>
          <w:rFonts w:ascii="Arial" w:hAnsi="Arial" w:cs="Arial"/>
          <w:lang w:val="en-GB"/>
        </w:rPr>
      </w:pPr>
    </w:p>
    <w:p w14:paraId="0634D075" w14:textId="77777777" w:rsidR="0030616C" w:rsidRPr="00F007A1" w:rsidRDefault="0030616C" w:rsidP="004B5F6A">
      <w:pPr>
        <w:numPr>
          <w:ilvl w:val="1"/>
          <w:numId w:val="12"/>
        </w:numPr>
        <w:ind w:hanging="720"/>
        <w:jc w:val="both"/>
        <w:rPr>
          <w:rFonts w:ascii="Arial" w:hAnsi="Arial" w:cs="Arial"/>
          <w:lang w:val="en-GB"/>
        </w:rPr>
      </w:pPr>
      <w:r w:rsidRPr="00F007A1">
        <w:rPr>
          <w:rFonts w:ascii="Arial" w:hAnsi="Arial" w:cs="Arial"/>
          <w:lang w:val="en-GB"/>
        </w:rPr>
        <w:t xml:space="preserve">This is the </w:t>
      </w:r>
      <w:r w:rsidR="00B72A8C" w:rsidRPr="00F007A1">
        <w:rPr>
          <w:rFonts w:ascii="Arial" w:hAnsi="Arial" w:cs="Arial"/>
          <w:lang w:val="en-GB"/>
        </w:rPr>
        <w:t xml:space="preserve">Investment Strategy </w:t>
      </w:r>
      <w:r w:rsidRPr="00F007A1">
        <w:rPr>
          <w:rFonts w:ascii="Arial" w:hAnsi="Arial" w:cs="Arial"/>
          <w:lang w:val="en-GB"/>
        </w:rPr>
        <w:t>Statement</w:t>
      </w:r>
      <w:r w:rsidR="00BB320B" w:rsidRPr="00F007A1">
        <w:rPr>
          <w:rFonts w:ascii="Arial" w:hAnsi="Arial" w:cs="Arial"/>
          <w:lang w:val="en-GB"/>
        </w:rPr>
        <w:t xml:space="preserve"> (</w:t>
      </w:r>
      <w:r w:rsidR="009D7D16" w:rsidRPr="00F007A1">
        <w:rPr>
          <w:rFonts w:ascii="Arial" w:hAnsi="Arial" w:cs="Arial"/>
          <w:lang w:val="en-GB"/>
        </w:rPr>
        <w:t>ISS</w:t>
      </w:r>
      <w:r w:rsidR="00BB320B" w:rsidRPr="00F007A1">
        <w:rPr>
          <w:rFonts w:ascii="Arial" w:hAnsi="Arial" w:cs="Arial"/>
          <w:lang w:val="en-GB"/>
        </w:rPr>
        <w:t xml:space="preserve">) of the London Borough of Harrow Pension Fund </w:t>
      </w:r>
      <w:r w:rsidRPr="00F007A1">
        <w:rPr>
          <w:rFonts w:ascii="Arial" w:hAnsi="Arial" w:cs="Arial"/>
          <w:lang w:val="en-GB"/>
        </w:rPr>
        <w:t>adopted</w:t>
      </w:r>
      <w:r w:rsidR="00BE0CA8" w:rsidRPr="00F007A1">
        <w:rPr>
          <w:rFonts w:ascii="Arial" w:hAnsi="Arial" w:cs="Arial"/>
          <w:lang w:val="en-GB"/>
        </w:rPr>
        <w:t xml:space="preserve"> </w:t>
      </w:r>
      <w:r w:rsidRPr="00F007A1">
        <w:rPr>
          <w:rFonts w:ascii="Arial" w:hAnsi="Arial" w:cs="Arial"/>
          <w:lang w:val="en-GB"/>
        </w:rPr>
        <w:t xml:space="preserve">by Harrow </w:t>
      </w:r>
      <w:r w:rsidR="007F4AF8" w:rsidRPr="00F007A1">
        <w:rPr>
          <w:rFonts w:ascii="Arial" w:hAnsi="Arial" w:cs="Arial"/>
          <w:lang w:val="en-GB"/>
        </w:rPr>
        <w:t>Council (</w:t>
      </w:r>
      <w:r w:rsidRPr="00F007A1">
        <w:rPr>
          <w:rFonts w:ascii="Arial" w:hAnsi="Arial" w:cs="Arial"/>
          <w:lang w:val="en-GB"/>
        </w:rPr>
        <w:t xml:space="preserve">the Council) </w:t>
      </w:r>
      <w:r w:rsidR="00B72A8C" w:rsidRPr="00F007A1">
        <w:rPr>
          <w:rFonts w:ascii="Arial" w:hAnsi="Arial" w:cs="Arial"/>
          <w:lang w:val="en-GB"/>
        </w:rPr>
        <w:t>in its capacity</w:t>
      </w:r>
      <w:r w:rsidR="00A60E37" w:rsidRPr="00642DC1">
        <w:rPr>
          <w:rFonts w:ascii="Arial" w:hAnsi="Arial" w:cs="Arial"/>
          <w:lang w:val="en-GB"/>
        </w:rPr>
        <w:t xml:space="preserve"> under Regulation 7 of the Local Government Pension Scheme</w:t>
      </w:r>
      <w:r w:rsidR="00B72A8C" w:rsidRPr="001F4FE1">
        <w:rPr>
          <w:rFonts w:ascii="Arial" w:hAnsi="Arial" w:cs="Arial"/>
          <w:lang w:val="en-GB"/>
        </w:rPr>
        <w:t xml:space="preserve"> as Administering Authority of the Local Government Pension Scheme. In this capacity the Council </w:t>
      </w:r>
      <w:r w:rsidR="007F4AF8" w:rsidRPr="00F007A1">
        <w:rPr>
          <w:rFonts w:ascii="Arial" w:hAnsi="Arial" w:cs="Arial"/>
          <w:lang w:val="en-GB"/>
        </w:rPr>
        <w:t>has responsibility to ensure the proper management of the Fund.</w:t>
      </w:r>
    </w:p>
    <w:p w14:paraId="332DC72F" w14:textId="77777777" w:rsidR="00BE0CA8" w:rsidRPr="00F007A1" w:rsidRDefault="00BE0CA8" w:rsidP="00BE0CA8">
      <w:pPr>
        <w:ind w:left="720"/>
        <w:jc w:val="both"/>
        <w:rPr>
          <w:rFonts w:ascii="Arial" w:hAnsi="Arial" w:cs="Arial"/>
          <w:lang w:val="en-GB"/>
        </w:rPr>
      </w:pPr>
    </w:p>
    <w:p w14:paraId="7E3F3621" w14:textId="7279B608" w:rsidR="00BE0CA8" w:rsidRPr="00F007A1" w:rsidRDefault="00BE0CA8" w:rsidP="004B5F6A">
      <w:pPr>
        <w:numPr>
          <w:ilvl w:val="1"/>
          <w:numId w:val="12"/>
        </w:numPr>
        <w:ind w:hanging="720"/>
        <w:jc w:val="both"/>
        <w:rPr>
          <w:rFonts w:ascii="Arial" w:hAnsi="Arial" w:cs="Arial"/>
          <w:lang w:val="en-GB"/>
        </w:rPr>
      </w:pPr>
      <w:r w:rsidRPr="00F007A1">
        <w:rPr>
          <w:rFonts w:ascii="Arial" w:hAnsi="Arial" w:cs="Arial"/>
          <w:lang w:val="en-GB"/>
        </w:rPr>
        <w:t xml:space="preserve">The Council has delegated to its Pension Fund Committee (“the Committee”) “all the </w:t>
      </w:r>
      <w:r w:rsidRPr="00464454">
        <w:rPr>
          <w:rFonts w:ascii="Arial" w:hAnsi="Arial" w:cs="Arial"/>
          <w:lang w:val="en-GB"/>
        </w:rPr>
        <w:t>powers and duties of the Council in relation to its functions as Administering Authority</w:t>
      </w:r>
      <w:r w:rsidR="004524E6" w:rsidRPr="00464454">
        <w:rPr>
          <w:rFonts w:ascii="Arial" w:hAnsi="Arial" w:cs="Arial"/>
          <w:lang w:val="en-GB"/>
        </w:rPr>
        <w:t xml:space="preserve"> save</w:t>
      </w:r>
      <w:r w:rsidR="004524E6" w:rsidRPr="00F007A1">
        <w:rPr>
          <w:rFonts w:ascii="Arial" w:hAnsi="Arial" w:cs="Arial"/>
          <w:lang w:val="en-GB"/>
        </w:rPr>
        <w:t xml:space="preserve"> for those matters delegated to other committees of the Council or to an officer.”</w:t>
      </w:r>
    </w:p>
    <w:p w14:paraId="5A0C8AF2" w14:textId="77777777" w:rsidR="00BE0CA8" w:rsidRPr="00F007A1" w:rsidRDefault="00BE0CA8" w:rsidP="004524E6">
      <w:pPr>
        <w:jc w:val="both"/>
        <w:rPr>
          <w:rFonts w:ascii="Arial" w:hAnsi="Arial" w:cs="Arial"/>
          <w:lang w:val="en-GB"/>
        </w:rPr>
      </w:pPr>
    </w:p>
    <w:p w14:paraId="2E3B429A" w14:textId="4D3328E6" w:rsidR="000B10B7" w:rsidRPr="00BD1FFF" w:rsidRDefault="0030616C" w:rsidP="001F4FE1">
      <w:pPr>
        <w:numPr>
          <w:ilvl w:val="1"/>
          <w:numId w:val="12"/>
        </w:numPr>
        <w:ind w:hanging="720"/>
        <w:jc w:val="both"/>
        <w:rPr>
          <w:rFonts w:ascii="Arial" w:hAnsi="Arial" w:cs="Arial"/>
          <w:lang w:val="en-GB"/>
        </w:rPr>
      </w:pPr>
      <w:r w:rsidRPr="00BD1FFF">
        <w:rPr>
          <w:rFonts w:ascii="Arial" w:hAnsi="Arial" w:cs="Arial"/>
          <w:lang w:val="en-GB"/>
        </w:rPr>
        <w:t>Th</w:t>
      </w:r>
      <w:r w:rsidR="00BB320B" w:rsidRPr="00BD1FFF">
        <w:rPr>
          <w:rFonts w:ascii="Arial" w:hAnsi="Arial" w:cs="Arial"/>
          <w:lang w:val="en-GB"/>
        </w:rPr>
        <w:t>e</w:t>
      </w:r>
      <w:r w:rsidRPr="00BD1FFF">
        <w:rPr>
          <w:rFonts w:ascii="Arial" w:hAnsi="Arial" w:cs="Arial"/>
          <w:lang w:val="en-GB"/>
        </w:rPr>
        <w:t xml:space="preserve"> </w:t>
      </w:r>
      <w:r w:rsidR="009D7D16" w:rsidRPr="00BD1FFF">
        <w:rPr>
          <w:rFonts w:ascii="Arial" w:hAnsi="Arial" w:cs="Arial"/>
          <w:lang w:val="en-GB"/>
        </w:rPr>
        <w:t>ISS</w:t>
      </w:r>
      <w:r w:rsidRPr="00BD1FFF">
        <w:rPr>
          <w:rFonts w:ascii="Arial" w:hAnsi="Arial" w:cs="Arial"/>
          <w:lang w:val="en-GB"/>
        </w:rPr>
        <w:t xml:space="preserve"> </w:t>
      </w:r>
      <w:r w:rsidR="004524E6" w:rsidRPr="00BD1FFF">
        <w:rPr>
          <w:rFonts w:ascii="Arial" w:hAnsi="Arial" w:cs="Arial"/>
          <w:lang w:val="en-GB"/>
        </w:rPr>
        <w:t xml:space="preserve">has been prepared by the Committee having taken </w:t>
      </w:r>
      <w:r w:rsidR="006A17ED" w:rsidRPr="00BD1FFF">
        <w:rPr>
          <w:rFonts w:ascii="Arial" w:hAnsi="Arial" w:cs="Arial"/>
          <w:lang w:val="en-GB"/>
        </w:rPr>
        <w:t>appropriate advice.</w:t>
      </w:r>
      <w:r w:rsidR="004524E6" w:rsidRPr="00BD1FFF">
        <w:rPr>
          <w:rFonts w:ascii="Arial" w:hAnsi="Arial" w:cs="Arial"/>
          <w:lang w:val="en-GB"/>
        </w:rPr>
        <w:t xml:space="preserve"> It </w:t>
      </w:r>
      <w:r w:rsidR="00DF2784" w:rsidRPr="00BD1FFF">
        <w:rPr>
          <w:rFonts w:ascii="Arial" w:hAnsi="Arial" w:cs="Arial"/>
          <w:lang w:val="en-GB"/>
        </w:rPr>
        <w:t xml:space="preserve">meets </w:t>
      </w:r>
      <w:r w:rsidRPr="00BD1FFF">
        <w:rPr>
          <w:rFonts w:ascii="Arial" w:hAnsi="Arial" w:cs="Arial"/>
          <w:lang w:val="en-GB"/>
        </w:rPr>
        <w:t xml:space="preserve">the </w:t>
      </w:r>
      <w:r w:rsidR="00ED211B" w:rsidRPr="00BD1FFF">
        <w:rPr>
          <w:rFonts w:ascii="Arial" w:hAnsi="Arial" w:cs="Arial"/>
          <w:lang w:val="en-GB"/>
        </w:rPr>
        <w:t>requirements of</w:t>
      </w:r>
      <w:r w:rsidR="00AF49ED" w:rsidRPr="00BD1FFF">
        <w:rPr>
          <w:rFonts w:ascii="Arial" w:hAnsi="Arial" w:cs="Arial"/>
          <w:lang w:val="en-GB"/>
        </w:rPr>
        <w:t xml:space="preserve"> The Local Government Pension Scheme (Management and Investment of Funds) Regulations 2016</w:t>
      </w:r>
      <w:r w:rsidR="00BB320B" w:rsidRPr="00BD1FFF">
        <w:rPr>
          <w:rFonts w:ascii="Arial" w:hAnsi="Arial" w:cs="Arial"/>
          <w:lang w:val="en-GB"/>
        </w:rPr>
        <w:t xml:space="preserve"> (</w:t>
      </w:r>
      <w:r w:rsidR="00AF49ED" w:rsidRPr="00BD1FFF">
        <w:rPr>
          <w:rFonts w:ascii="Arial" w:hAnsi="Arial" w:cs="Arial"/>
          <w:lang w:val="en-GB"/>
        </w:rPr>
        <w:t>the Regulations</w:t>
      </w:r>
      <w:r w:rsidR="00BB320B" w:rsidRPr="00BD1FFF">
        <w:rPr>
          <w:rFonts w:ascii="Arial" w:hAnsi="Arial" w:cs="Arial"/>
          <w:lang w:val="en-GB"/>
        </w:rPr>
        <w:t>).</w:t>
      </w:r>
    </w:p>
    <w:p w14:paraId="3276DBDF" w14:textId="77777777" w:rsidR="0091200B" w:rsidRPr="00BD1FFF" w:rsidRDefault="0091200B" w:rsidP="000B10B7">
      <w:pPr>
        <w:pStyle w:val="BodyTextIndent2"/>
        <w:jc w:val="both"/>
        <w:rPr>
          <w:lang w:val="en-GB"/>
        </w:rPr>
      </w:pPr>
    </w:p>
    <w:p w14:paraId="14DDD042" w14:textId="2B0261D5" w:rsidR="0091200B" w:rsidRPr="00BD1FFF" w:rsidRDefault="000B10B7" w:rsidP="001F4FE1">
      <w:pPr>
        <w:numPr>
          <w:ilvl w:val="1"/>
          <w:numId w:val="12"/>
        </w:numPr>
        <w:ind w:hanging="720"/>
        <w:jc w:val="both"/>
        <w:rPr>
          <w:rFonts w:ascii="Arial" w:hAnsi="Arial" w:cs="Arial"/>
          <w:lang w:val="en-GB"/>
        </w:rPr>
      </w:pPr>
      <w:r w:rsidRPr="00BD1FFF">
        <w:rPr>
          <w:rFonts w:ascii="Arial" w:hAnsi="Arial" w:cs="Arial"/>
          <w:lang w:val="en-GB"/>
        </w:rPr>
        <w:t>The ISS, which was</w:t>
      </w:r>
      <w:r w:rsidR="001C5277" w:rsidRPr="00BD1FFF">
        <w:rPr>
          <w:rFonts w:ascii="Arial" w:hAnsi="Arial" w:cs="Arial"/>
          <w:lang w:val="en-GB"/>
        </w:rPr>
        <w:t xml:space="preserve"> </w:t>
      </w:r>
      <w:r w:rsidR="00E9572D" w:rsidRPr="00BD1FFF">
        <w:rPr>
          <w:rFonts w:ascii="Arial" w:hAnsi="Arial" w:cs="Arial"/>
          <w:lang w:val="en-GB"/>
        </w:rPr>
        <w:t>last approved</w:t>
      </w:r>
      <w:r w:rsidRPr="00BD1FFF">
        <w:rPr>
          <w:rFonts w:ascii="Arial" w:hAnsi="Arial" w:cs="Arial"/>
          <w:lang w:val="en-GB"/>
        </w:rPr>
        <w:t xml:space="preserve"> by the </w:t>
      </w:r>
      <w:r w:rsidRPr="000027F1">
        <w:rPr>
          <w:rFonts w:ascii="Arial" w:hAnsi="Arial" w:cs="Arial"/>
          <w:lang w:val="en-GB"/>
        </w:rPr>
        <w:t xml:space="preserve">Committee </w:t>
      </w:r>
      <w:r w:rsidR="00292F4F" w:rsidRPr="000027F1">
        <w:rPr>
          <w:rFonts w:ascii="Arial" w:hAnsi="Arial" w:cs="Arial"/>
          <w:lang w:val="en-GB"/>
        </w:rPr>
        <w:t>i</w:t>
      </w:r>
      <w:r w:rsidRPr="000027F1">
        <w:rPr>
          <w:rFonts w:ascii="Arial" w:hAnsi="Arial" w:cs="Arial"/>
          <w:lang w:val="en-GB"/>
        </w:rPr>
        <w:t xml:space="preserve">n </w:t>
      </w:r>
      <w:r w:rsidR="009655F9" w:rsidRPr="000027F1">
        <w:rPr>
          <w:rFonts w:ascii="Arial" w:hAnsi="Arial" w:cs="Arial"/>
          <w:lang w:val="en-GB"/>
        </w:rPr>
        <w:t>September 2021</w:t>
      </w:r>
      <w:r w:rsidRPr="00BD1FFF">
        <w:rPr>
          <w:rFonts w:ascii="Arial" w:hAnsi="Arial" w:cs="Arial"/>
          <w:lang w:val="en-GB"/>
        </w:rPr>
        <w:t xml:space="preserve">, is subject to periodic review at least every three years and without delay after any significant change in investment policy. The Committee </w:t>
      </w:r>
      <w:r w:rsidR="00C41B9E" w:rsidRPr="00BD1FFF">
        <w:rPr>
          <w:rFonts w:ascii="Arial" w:hAnsi="Arial" w:cs="Arial"/>
          <w:lang w:val="en-GB"/>
        </w:rPr>
        <w:t>will</w:t>
      </w:r>
      <w:r w:rsidRPr="00BD1FFF">
        <w:rPr>
          <w:rFonts w:ascii="Arial" w:hAnsi="Arial" w:cs="Arial"/>
          <w:lang w:val="en-GB"/>
        </w:rPr>
        <w:t xml:space="preserve"> consult on the contents of the Strategy with each of its employers, the Pension Board and the trade union observers. The ISS should be read in conjunction with the Fund’s Funding Strategy Statement</w:t>
      </w:r>
      <w:r w:rsidR="009655F9" w:rsidRPr="00BD1FFF">
        <w:rPr>
          <w:rFonts w:ascii="Arial" w:hAnsi="Arial" w:cs="Arial"/>
          <w:lang w:val="en-GB"/>
        </w:rPr>
        <w:t>.</w:t>
      </w:r>
    </w:p>
    <w:p w14:paraId="1C8B2A14" w14:textId="77777777" w:rsidR="0091200B" w:rsidRPr="00BD1FFF" w:rsidRDefault="0091200B" w:rsidP="005232FC">
      <w:pPr>
        <w:ind w:left="720" w:hanging="720"/>
        <w:jc w:val="both"/>
        <w:rPr>
          <w:rFonts w:ascii="Arial" w:hAnsi="Arial" w:cs="Arial"/>
          <w:lang w:val="en-GB"/>
        </w:rPr>
      </w:pPr>
    </w:p>
    <w:p w14:paraId="21D9FA4A" w14:textId="63A214CD" w:rsidR="000B10B7" w:rsidRPr="00BD1FFF" w:rsidRDefault="001C5277" w:rsidP="001F4FE1">
      <w:pPr>
        <w:numPr>
          <w:ilvl w:val="1"/>
          <w:numId w:val="12"/>
        </w:numPr>
        <w:ind w:hanging="720"/>
        <w:jc w:val="both"/>
        <w:rPr>
          <w:rFonts w:ascii="Arial" w:hAnsi="Arial" w:cs="Arial"/>
          <w:lang w:val="en-GB"/>
        </w:rPr>
      </w:pPr>
      <w:r w:rsidRPr="00BD1FFF">
        <w:rPr>
          <w:rFonts w:ascii="Arial" w:hAnsi="Arial" w:cs="Arial"/>
          <w:lang w:val="en-GB"/>
        </w:rPr>
        <w:t xml:space="preserve">The amendments to the investment policy reflect the results of the Investment Strategy Review and Asset Liability Modelling exercise that was undertaken in </w:t>
      </w:r>
      <w:r w:rsidR="009655F9" w:rsidRPr="000027F1">
        <w:rPr>
          <w:rFonts w:ascii="Arial" w:hAnsi="Arial" w:cs="Arial"/>
          <w:lang w:val="en-GB"/>
        </w:rPr>
        <w:t>202</w:t>
      </w:r>
      <w:r w:rsidR="006C6CEF" w:rsidRPr="000027F1">
        <w:rPr>
          <w:rFonts w:ascii="Arial" w:hAnsi="Arial" w:cs="Arial"/>
          <w:lang w:val="en-GB"/>
        </w:rPr>
        <w:t>3</w:t>
      </w:r>
      <w:r w:rsidR="0091200B" w:rsidRPr="00BD1FFF">
        <w:rPr>
          <w:rFonts w:ascii="Arial" w:hAnsi="Arial" w:cs="Arial"/>
          <w:lang w:val="en-GB"/>
        </w:rPr>
        <w:t xml:space="preserve">. </w:t>
      </w:r>
    </w:p>
    <w:p w14:paraId="4263A520" w14:textId="77777777" w:rsidR="000B10B7" w:rsidRPr="00BD1FFF" w:rsidRDefault="000B10B7" w:rsidP="000B10B7">
      <w:pPr>
        <w:pStyle w:val="BodyTextIndent2"/>
        <w:jc w:val="both"/>
        <w:rPr>
          <w:iCs/>
        </w:rPr>
      </w:pPr>
    </w:p>
    <w:p w14:paraId="03C297F7" w14:textId="77777777" w:rsidR="00C36B0B" w:rsidRPr="00BD1FFF" w:rsidRDefault="00C36B0B" w:rsidP="005232FC">
      <w:pPr>
        <w:pStyle w:val="BodyTextIndent2"/>
        <w:numPr>
          <w:ilvl w:val="0"/>
          <w:numId w:val="12"/>
        </w:numPr>
        <w:ind w:hanging="720"/>
        <w:jc w:val="both"/>
        <w:rPr>
          <w:b/>
          <w:sz w:val="28"/>
          <w:szCs w:val="28"/>
        </w:rPr>
      </w:pPr>
      <w:bookmarkStart w:id="1" w:name="_Toc398544555"/>
      <w:r w:rsidRPr="00BD1FFF">
        <w:rPr>
          <w:b/>
          <w:sz w:val="28"/>
          <w:szCs w:val="28"/>
        </w:rPr>
        <w:t xml:space="preserve">Statutory </w:t>
      </w:r>
      <w:r w:rsidR="00392DBC" w:rsidRPr="00BD1FFF">
        <w:rPr>
          <w:b/>
          <w:sz w:val="28"/>
          <w:szCs w:val="28"/>
        </w:rPr>
        <w:t>b</w:t>
      </w:r>
      <w:r w:rsidRPr="00BD1FFF">
        <w:rPr>
          <w:b/>
          <w:sz w:val="28"/>
          <w:szCs w:val="28"/>
        </w:rPr>
        <w:t>ackground</w:t>
      </w:r>
    </w:p>
    <w:p w14:paraId="5B4CA250" w14:textId="77777777" w:rsidR="00C36B0B" w:rsidRPr="00BD1FFF" w:rsidRDefault="00C36B0B" w:rsidP="00B3636A">
      <w:pPr>
        <w:pStyle w:val="Heading2"/>
        <w:ind w:right="425"/>
        <w:jc w:val="both"/>
        <w:rPr>
          <w:rFonts w:ascii="Arial" w:hAnsi="Arial" w:cs="Arial"/>
        </w:rPr>
      </w:pPr>
    </w:p>
    <w:p w14:paraId="25FBD11F" w14:textId="5CE46C62" w:rsidR="003178F7" w:rsidRPr="001F4FE1" w:rsidRDefault="003178F7" w:rsidP="001F4FE1">
      <w:pPr>
        <w:numPr>
          <w:ilvl w:val="1"/>
          <w:numId w:val="12"/>
        </w:numPr>
        <w:ind w:hanging="720"/>
        <w:jc w:val="both"/>
        <w:rPr>
          <w:rFonts w:ascii="Arial" w:hAnsi="Arial" w:cs="Arial"/>
          <w:lang w:val="en-GB"/>
        </w:rPr>
      </w:pPr>
      <w:r w:rsidRPr="00BD1FFF">
        <w:rPr>
          <w:rFonts w:ascii="Arial" w:hAnsi="Arial" w:cs="Arial"/>
          <w:lang w:val="en-GB"/>
        </w:rPr>
        <w:t xml:space="preserve">Regulation 7(1) </w:t>
      </w:r>
      <w:r w:rsidR="00504C8D" w:rsidRPr="00BD1FFF">
        <w:rPr>
          <w:rFonts w:ascii="Arial" w:hAnsi="Arial" w:cs="Arial"/>
          <w:lang w:val="en-GB"/>
        </w:rPr>
        <w:t>of the Regulations</w:t>
      </w:r>
      <w:r w:rsidR="00504C8D" w:rsidRPr="001F4FE1">
        <w:rPr>
          <w:rFonts w:ascii="Arial" w:hAnsi="Arial" w:cs="Arial"/>
          <w:lang w:val="en-GB"/>
        </w:rPr>
        <w:t xml:space="preserve"> </w:t>
      </w:r>
      <w:r w:rsidRPr="001F4FE1">
        <w:rPr>
          <w:rFonts w:ascii="Arial" w:hAnsi="Arial" w:cs="Arial"/>
          <w:lang w:val="en-GB"/>
        </w:rPr>
        <w:t xml:space="preserve">requires an administering authority to formulate an investment strategy which must be in accordance with guidance issued by the Secretary of State. </w:t>
      </w:r>
    </w:p>
    <w:p w14:paraId="489267FB" w14:textId="77777777" w:rsidR="009655F9" w:rsidRPr="001F4FE1" w:rsidRDefault="009655F9" w:rsidP="00CA64A0">
      <w:pPr>
        <w:autoSpaceDE w:val="0"/>
        <w:autoSpaceDN w:val="0"/>
        <w:adjustRightInd w:val="0"/>
        <w:ind w:left="709" w:hanging="709"/>
        <w:jc w:val="both"/>
        <w:rPr>
          <w:rFonts w:ascii="Arial" w:hAnsi="Arial" w:cs="Arial"/>
          <w:color w:val="000000"/>
          <w:szCs w:val="24"/>
          <w:lang w:val="en-GB" w:eastAsia="en-GB"/>
        </w:rPr>
      </w:pPr>
    </w:p>
    <w:p w14:paraId="33ABDA3B" w14:textId="5CBF022D" w:rsidR="009655F9" w:rsidRPr="00642DC1" w:rsidRDefault="009655F9" w:rsidP="00642DC1">
      <w:pPr>
        <w:numPr>
          <w:ilvl w:val="1"/>
          <w:numId w:val="12"/>
        </w:numPr>
        <w:spacing w:after="120"/>
        <w:ind w:hanging="720"/>
        <w:jc w:val="both"/>
        <w:rPr>
          <w:rFonts w:ascii="Arial" w:hAnsi="Arial" w:cs="Arial"/>
          <w:lang w:val="en-GB"/>
        </w:rPr>
      </w:pPr>
      <w:r w:rsidRPr="00642DC1">
        <w:rPr>
          <w:rFonts w:ascii="Arial" w:hAnsi="Arial" w:cs="Arial"/>
          <w:lang w:val="en-GB"/>
        </w:rPr>
        <w:t xml:space="preserve">The ISS required by Regulation 7 must include: </w:t>
      </w:r>
    </w:p>
    <w:p w14:paraId="62DFDF4D" w14:textId="77777777" w:rsidR="009655F9" w:rsidRPr="00F007A1" w:rsidRDefault="009655F9" w:rsidP="009655F9">
      <w:pPr>
        <w:pStyle w:val="ListParagraph"/>
        <w:numPr>
          <w:ilvl w:val="0"/>
          <w:numId w:val="29"/>
        </w:numPr>
        <w:tabs>
          <w:tab w:val="left" w:pos="-993"/>
        </w:tabs>
        <w:spacing w:after="200" w:line="276" w:lineRule="auto"/>
        <w:ind w:left="1276"/>
        <w:contextualSpacing/>
        <w:rPr>
          <w:rFonts w:ascii="Arial" w:hAnsi="Arial" w:cs="Arial"/>
        </w:rPr>
      </w:pPr>
      <w:r w:rsidRPr="001F4FE1">
        <w:rPr>
          <w:rFonts w:ascii="Arial" w:hAnsi="Arial" w:cs="Arial"/>
        </w:rPr>
        <w:t xml:space="preserve">A requirement to invest money in a wide variety of investments; </w:t>
      </w:r>
    </w:p>
    <w:p w14:paraId="41866CF5" w14:textId="77777777" w:rsidR="009655F9" w:rsidRPr="00F007A1" w:rsidRDefault="009655F9" w:rsidP="009655F9">
      <w:pPr>
        <w:pStyle w:val="ListParagraph"/>
        <w:numPr>
          <w:ilvl w:val="0"/>
          <w:numId w:val="29"/>
        </w:numPr>
        <w:tabs>
          <w:tab w:val="left" w:pos="-993"/>
        </w:tabs>
        <w:spacing w:after="200" w:line="276" w:lineRule="auto"/>
        <w:ind w:left="1276"/>
        <w:contextualSpacing/>
        <w:rPr>
          <w:rFonts w:ascii="Arial" w:hAnsi="Arial" w:cs="Arial"/>
        </w:rPr>
      </w:pPr>
      <w:r w:rsidRPr="00F007A1">
        <w:rPr>
          <w:rFonts w:ascii="Arial" w:hAnsi="Arial" w:cs="Arial"/>
        </w:rPr>
        <w:t xml:space="preserve">The authority’s assessment of the suitability of particular investments and types of investments; </w:t>
      </w:r>
    </w:p>
    <w:p w14:paraId="5D0EC0A1" w14:textId="77777777" w:rsidR="009655F9" w:rsidRPr="00F007A1" w:rsidRDefault="009655F9" w:rsidP="009655F9">
      <w:pPr>
        <w:pStyle w:val="ListParagraph"/>
        <w:numPr>
          <w:ilvl w:val="0"/>
          <w:numId w:val="29"/>
        </w:numPr>
        <w:tabs>
          <w:tab w:val="left" w:pos="-993"/>
        </w:tabs>
        <w:spacing w:after="200" w:line="276" w:lineRule="auto"/>
        <w:ind w:left="1276"/>
        <w:contextualSpacing/>
        <w:rPr>
          <w:rFonts w:ascii="Arial" w:hAnsi="Arial" w:cs="Arial"/>
        </w:rPr>
      </w:pPr>
      <w:r w:rsidRPr="00F007A1">
        <w:rPr>
          <w:rFonts w:ascii="Arial" w:hAnsi="Arial" w:cs="Arial"/>
        </w:rPr>
        <w:t xml:space="preserve">The authority’s approach to risk, including the ways in which risks are to be measured and managed; </w:t>
      </w:r>
    </w:p>
    <w:p w14:paraId="1A00C139" w14:textId="77777777" w:rsidR="009655F9" w:rsidRPr="00F007A1" w:rsidRDefault="009655F9" w:rsidP="009655F9">
      <w:pPr>
        <w:pStyle w:val="ListParagraph"/>
        <w:numPr>
          <w:ilvl w:val="0"/>
          <w:numId w:val="29"/>
        </w:numPr>
        <w:tabs>
          <w:tab w:val="left" w:pos="-993"/>
        </w:tabs>
        <w:spacing w:after="200" w:line="276" w:lineRule="auto"/>
        <w:ind w:left="1276"/>
        <w:contextualSpacing/>
        <w:rPr>
          <w:rFonts w:ascii="Arial" w:hAnsi="Arial" w:cs="Arial"/>
        </w:rPr>
      </w:pPr>
      <w:r w:rsidRPr="00F007A1">
        <w:rPr>
          <w:rFonts w:ascii="Arial" w:hAnsi="Arial" w:cs="Arial"/>
        </w:rPr>
        <w:t xml:space="preserve">The authority’s approach to pooling investments, including the use of collective investment vehicles and shared services; </w:t>
      </w:r>
    </w:p>
    <w:p w14:paraId="2A016E4B" w14:textId="77777777" w:rsidR="009655F9" w:rsidRPr="00F007A1" w:rsidRDefault="009655F9" w:rsidP="009655F9">
      <w:pPr>
        <w:pStyle w:val="ListParagraph"/>
        <w:numPr>
          <w:ilvl w:val="0"/>
          <w:numId w:val="29"/>
        </w:numPr>
        <w:tabs>
          <w:tab w:val="left" w:pos="-993"/>
        </w:tabs>
        <w:spacing w:after="200" w:line="276" w:lineRule="auto"/>
        <w:ind w:left="1276"/>
        <w:contextualSpacing/>
        <w:rPr>
          <w:rFonts w:ascii="Arial" w:hAnsi="Arial" w:cs="Arial"/>
        </w:rPr>
      </w:pPr>
      <w:r w:rsidRPr="00F007A1">
        <w:rPr>
          <w:rFonts w:ascii="Arial" w:hAnsi="Arial" w:cs="Arial"/>
        </w:rPr>
        <w:lastRenderedPageBreak/>
        <w:t xml:space="preserve">The authority’s policy on how social, environmental or corporate governance considerations are taken into account in the selection, non-selection, retention and realisation of investments; and </w:t>
      </w:r>
    </w:p>
    <w:p w14:paraId="13F0EAC5" w14:textId="77777777" w:rsidR="009655F9" w:rsidRPr="00F007A1" w:rsidRDefault="009655F9" w:rsidP="009655F9">
      <w:pPr>
        <w:pStyle w:val="ListParagraph"/>
        <w:numPr>
          <w:ilvl w:val="0"/>
          <w:numId w:val="29"/>
        </w:numPr>
        <w:tabs>
          <w:tab w:val="left" w:pos="-993"/>
        </w:tabs>
        <w:spacing w:after="200" w:line="276" w:lineRule="auto"/>
        <w:ind w:left="1276"/>
        <w:contextualSpacing/>
        <w:rPr>
          <w:rFonts w:ascii="Arial" w:hAnsi="Arial" w:cs="Arial"/>
        </w:rPr>
      </w:pPr>
      <w:r w:rsidRPr="00F007A1">
        <w:rPr>
          <w:rFonts w:ascii="Arial" w:hAnsi="Arial" w:cs="Arial"/>
        </w:rPr>
        <w:t>The authority’s policy on the exercise of rights (including voting rights) attaching to investments.</w:t>
      </w:r>
    </w:p>
    <w:p w14:paraId="1C6B51E6" w14:textId="29A0BA20" w:rsidR="009655F9" w:rsidRPr="00642DC1" w:rsidRDefault="009655F9" w:rsidP="00642DC1">
      <w:pPr>
        <w:numPr>
          <w:ilvl w:val="1"/>
          <w:numId w:val="12"/>
        </w:numPr>
        <w:ind w:hanging="720"/>
        <w:jc w:val="both"/>
        <w:rPr>
          <w:rFonts w:ascii="Arial" w:hAnsi="Arial" w:cs="Arial"/>
          <w:lang w:val="en-GB"/>
        </w:rPr>
      </w:pPr>
      <w:r w:rsidRPr="00642DC1">
        <w:rPr>
          <w:rFonts w:ascii="Arial" w:hAnsi="Arial" w:cs="Arial"/>
          <w:lang w:val="en-GB"/>
        </w:rPr>
        <w:t xml:space="preserve">The ISS must also set out the maximum percentage of the total value of all investments of fund money that it will invest in particular investments or classes of investment. </w:t>
      </w:r>
    </w:p>
    <w:p w14:paraId="76B63029" w14:textId="77777777" w:rsidR="009655F9" w:rsidRPr="00F007A1" w:rsidRDefault="009655F9" w:rsidP="00CA64A0">
      <w:pPr>
        <w:autoSpaceDE w:val="0"/>
        <w:autoSpaceDN w:val="0"/>
        <w:adjustRightInd w:val="0"/>
        <w:jc w:val="both"/>
        <w:rPr>
          <w:rFonts w:ascii="Arial" w:hAnsi="Arial" w:cs="Arial"/>
          <w:color w:val="000000"/>
          <w:szCs w:val="24"/>
          <w:lang w:val="en-GB" w:eastAsia="en-GB"/>
        </w:rPr>
      </w:pPr>
    </w:p>
    <w:p w14:paraId="466288A9" w14:textId="77777777" w:rsidR="003178F7" w:rsidRPr="00F007A1" w:rsidRDefault="003178F7" w:rsidP="00CA64A0">
      <w:pPr>
        <w:autoSpaceDE w:val="0"/>
        <w:autoSpaceDN w:val="0"/>
        <w:adjustRightInd w:val="0"/>
        <w:ind w:left="709" w:hanging="709"/>
        <w:jc w:val="both"/>
        <w:rPr>
          <w:rFonts w:ascii="Arial" w:hAnsi="Arial" w:cs="Arial"/>
          <w:color w:val="000000"/>
          <w:szCs w:val="24"/>
          <w:lang w:val="en-GB" w:eastAsia="en-GB"/>
        </w:rPr>
      </w:pPr>
      <w:r w:rsidRPr="00F007A1">
        <w:rPr>
          <w:rFonts w:ascii="Arial" w:hAnsi="Arial" w:cs="Arial"/>
          <w:color w:val="000000"/>
          <w:szCs w:val="24"/>
          <w:lang w:val="en-GB" w:eastAsia="en-GB"/>
        </w:rPr>
        <w:t xml:space="preserve"> </w:t>
      </w:r>
    </w:p>
    <w:p w14:paraId="4D21874C" w14:textId="77777777" w:rsidR="003178F7" w:rsidRPr="00F007A1" w:rsidRDefault="003178F7" w:rsidP="005232FC">
      <w:pPr>
        <w:pStyle w:val="Heading2"/>
        <w:numPr>
          <w:ilvl w:val="0"/>
          <w:numId w:val="12"/>
        </w:numPr>
        <w:ind w:right="425" w:hanging="720"/>
        <w:jc w:val="both"/>
        <w:rPr>
          <w:rFonts w:ascii="Arial" w:hAnsi="Arial" w:cs="Arial"/>
          <w:sz w:val="28"/>
          <w:szCs w:val="28"/>
        </w:rPr>
      </w:pPr>
      <w:r w:rsidRPr="00F007A1">
        <w:rPr>
          <w:rFonts w:ascii="Arial" w:hAnsi="Arial" w:cs="Arial"/>
          <w:sz w:val="28"/>
          <w:szCs w:val="28"/>
        </w:rPr>
        <w:t>Directions by Secretary of State</w:t>
      </w:r>
    </w:p>
    <w:p w14:paraId="1A504887" w14:textId="77777777" w:rsidR="003178F7" w:rsidRPr="00642DC1" w:rsidRDefault="003178F7" w:rsidP="003178F7">
      <w:pPr>
        <w:rPr>
          <w:rFonts w:ascii="Arial" w:hAnsi="Arial" w:cs="Arial"/>
          <w:lang w:val="en-GB"/>
        </w:rPr>
      </w:pPr>
    </w:p>
    <w:p w14:paraId="14FB1553" w14:textId="3569051B" w:rsidR="003178F7" w:rsidRPr="00642DC1" w:rsidRDefault="003178F7" w:rsidP="00642DC1">
      <w:pPr>
        <w:numPr>
          <w:ilvl w:val="1"/>
          <w:numId w:val="12"/>
        </w:numPr>
        <w:ind w:hanging="720"/>
        <w:jc w:val="both"/>
        <w:rPr>
          <w:rFonts w:ascii="Arial" w:hAnsi="Arial" w:cs="Arial"/>
          <w:lang w:val="en-GB"/>
        </w:rPr>
      </w:pPr>
      <w:r w:rsidRPr="00642DC1">
        <w:rPr>
          <w:rFonts w:ascii="Arial" w:hAnsi="Arial" w:cs="Arial"/>
          <w:lang w:val="en-GB"/>
        </w:rPr>
        <w:t xml:space="preserve">Regulation 8 </w:t>
      </w:r>
      <w:r w:rsidR="00504C8D" w:rsidRPr="00642DC1">
        <w:rPr>
          <w:rFonts w:ascii="Arial" w:hAnsi="Arial" w:cs="Arial"/>
          <w:lang w:val="en-GB"/>
        </w:rPr>
        <w:t xml:space="preserve">of the Regulations </w:t>
      </w:r>
      <w:r w:rsidRPr="00642DC1">
        <w:rPr>
          <w:rFonts w:ascii="Arial" w:hAnsi="Arial" w:cs="Arial"/>
          <w:lang w:val="en-GB"/>
        </w:rPr>
        <w:t>enables the Secretary of State to issue a Direction if he is satisfied that an administering authority is failing to act in accordance with guidance</w:t>
      </w:r>
      <w:r w:rsidR="00387D43" w:rsidRPr="00642DC1">
        <w:rPr>
          <w:rFonts w:ascii="Arial" w:hAnsi="Arial" w:cs="Arial"/>
          <w:lang w:val="en-GB"/>
        </w:rPr>
        <w:t xml:space="preserve"> issued by the Department for</w:t>
      </w:r>
      <w:r w:rsidR="00CA64A0" w:rsidRPr="00642DC1">
        <w:rPr>
          <w:rFonts w:ascii="Arial" w:hAnsi="Arial" w:cs="Arial"/>
          <w:lang w:val="en-GB"/>
        </w:rPr>
        <w:t xml:space="preserve"> Communities and Local Government.</w:t>
      </w:r>
      <w:r w:rsidRPr="00642DC1">
        <w:rPr>
          <w:rFonts w:ascii="Arial" w:hAnsi="Arial" w:cs="Arial"/>
          <w:lang w:val="en-GB"/>
        </w:rPr>
        <w:t xml:space="preserve"> </w:t>
      </w:r>
    </w:p>
    <w:p w14:paraId="7F6DC00E" w14:textId="77777777" w:rsidR="00CA64A0" w:rsidRPr="001F4FE1" w:rsidRDefault="00CA64A0" w:rsidP="00CA64A0">
      <w:pPr>
        <w:autoSpaceDE w:val="0"/>
        <w:autoSpaceDN w:val="0"/>
        <w:adjustRightInd w:val="0"/>
        <w:jc w:val="both"/>
        <w:rPr>
          <w:rFonts w:ascii="Arial" w:hAnsi="Arial" w:cs="Arial"/>
          <w:color w:val="000000"/>
          <w:szCs w:val="24"/>
          <w:lang w:val="en-GB" w:eastAsia="en-GB"/>
        </w:rPr>
      </w:pPr>
    </w:p>
    <w:p w14:paraId="306DCE0D" w14:textId="250274C3" w:rsidR="003178F7" w:rsidRPr="00642DC1" w:rsidRDefault="003178F7" w:rsidP="00642DC1">
      <w:pPr>
        <w:numPr>
          <w:ilvl w:val="1"/>
          <w:numId w:val="12"/>
        </w:numPr>
        <w:ind w:hanging="720"/>
        <w:jc w:val="both"/>
        <w:rPr>
          <w:rFonts w:ascii="Arial" w:hAnsi="Arial" w:cs="Arial"/>
          <w:lang w:val="en-GB"/>
        </w:rPr>
      </w:pPr>
      <w:r w:rsidRPr="00642DC1">
        <w:rPr>
          <w:rFonts w:ascii="Arial" w:hAnsi="Arial" w:cs="Arial"/>
          <w:lang w:val="en-GB"/>
        </w:rPr>
        <w:t xml:space="preserve">The Secretary of State’s power of intervention does not interfere with the duty of elected members under general public law principles to make investment decisions in the best long-term interest of scheme beneficiaries and taxpayers. </w:t>
      </w:r>
    </w:p>
    <w:p w14:paraId="7F869106" w14:textId="0B31E8CE" w:rsidR="00A54A12" w:rsidRPr="001F4FE1" w:rsidRDefault="00A54A12" w:rsidP="00CA64A0">
      <w:pPr>
        <w:autoSpaceDE w:val="0"/>
        <w:autoSpaceDN w:val="0"/>
        <w:adjustRightInd w:val="0"/>
        <w:ind w:left="567" w:hanging="567"/>
        <w:jc w:val="both"/>
        <w:rPr>
          <w:rFonts w:ascii="Arial" w:hAnsi="Arial" w:cs="Arial"/>
          <w:color w:val="000000"/>
          <w:szCs w:val="24"/>
          <w:lang w:val="en-GB" w:eastAsia="en-GB"/>
        </w:rPr>
      </w:pPr>
    </w:p>
    <w:p w14:paraId="04257725" w14:textId="68F7E29B" w:rsidR="001E79F2" w:rsidRPr="00642DC1" w:rsidRDefault="001E79F2" w:rsidP="00642DC1">
      <w:pPr>
        <w:numPr>
          <w:ilvl w:val="1"/>
          <w:numId w:val="12"/>
        </w:numPr>
        <w:spacing w:after="120"/>
        <w:ind w:hanging="720"/>
        <w:jc w:val="both"/>
        <w:rPr>
          <w:rFonts w:ascii="Arial" w:hAnsi="Arial" w:cs="Arial"/>
          <w:lang w:val="en-GB"/>
        </w:rPr>
      </w:pPr>
      <w:r w:rsidRPr="00642DC1">
        <w:rPr>
          <w:rFonts w:ascii="Arial" w:hAnsi="Arial" w:cs="Arial"/>
          <w:lang w:val="en-GB"/>
        </w:rPr>
        <w:t>The power of Direction can be used in all or any of the following ways:</w:t>
      </w:r>
    </w:p>
    <w:p w14:paraId="5BDF204C" w14:textId="77777777" w:rsidR="001E79F2" w:rsidRPr="00F007A1" w:rsidRDefault="001E79F2" w:rsidP="001E79F2">
      <w:pPr>
        <w:pStyle w:val="ListParagraph"/>
        <w:numPr>
          <w:ilvl w:val="0"/>
          <w:numId w:val="30"/>
        </w:numPr>
        <w:tabs>
          <w:tab w:val="left" w:pos="-993"/>
        </w:tabs>
        <w:spacing w:after="200" w:line="276" w:lineRule="auto"/>
        <w:ind w:left="1276"/>
        <w:contextualSpacing/>
        <w:rPr>
          <w:rFonts w:ascii="Arial" w:hAnsi="Arial" w:cs="Arial"/>
        </w:rPr>
      </w:pPr>
      <w:r w:rsidRPr="001F4FE1">
        <w:rPr>
          <w:rFonts w:ascii="Arial" w:hAnsi="Arial" w:cs="Arial"/>
        </w:rPr>
        <w:t>To require an administering authority to make changes to its investment strategy in a given timesc</w:t>
      </w:r>
      <w:r w:rsidRPr="00F007A1">
        <w:rPr>
          <w:rFonts w:ascii="Arial" w:hAnsi="Arial" w:cs="Arial"/>
        </w:rPr>
        <w:t xml:space="preserve">ale; </w:t>
      </w:r>
    </w:p>
    <w:p w14:paraId="19E6E83E" w14:textId="77777777" w:rsidR="001E79F2" w:rsidRPr="00F007A1" w:rsidRDefault="001E79F2" w:rsidP="001E79F2">
      <w:pPr>
        <w:pStyle w:val="ListParagraph"/>
        <w:numPr>
          <w:ilvl w:val="0"/>
          <w:numId w:val="30"/>
        </w:numPr>
        <w:tabs>
          <w:tab w:val="left" w:pos="-993"/>
        </w:tabs>
        <w:spacing w:after="200" w:line="276" w:lineRule="auto"/>
        <w:ind w:left="1276"/>
        <w:contextualSpacing/>
        <w:rPr>
          <w:rFonts w:ascii="Arial" w:hAnsi="Arial" w:cs="Arial"/>
        </w:rPr>
      </w:pPr>
      <w:r w:rsidRPr="00F007A1">
        <w:rPr>
          <w:rFonts w:ascii="Arial" w:hAnsi="Arial" w:cs="Arial"/>
        </w:rPr>
        <w:t xml:space="preserve">To require an administering authority to invest assets as specified in the Direction; </w:t>
      </w:r>
    </w:p>
    <w:p w14:paraId="4A6843D3" w14:textId="77777777" w:rsidR="001E79F2" w:rsidRPr="00F007A1" w:rsidRDefault="001E79F2" w:rsidP="001E79F2">
      <w:pPr>
        <w:pStyle w:val="ListParagraph"/>
        <w:numPr>
          <w:ilvl w:val="0"/>
          <w:numId w:val="30"/>
        </w:numPr>
        <w:tabs>
          <w:tab w:val="left" w:pos="-993"/>
        </w:tabs>
        <w:spacing w:after="200" w:line="276" w:lineRule="auto"/>
        <w:ind w:left="1276"/>
        <w:contextualSpacing/>
        <w:rPr>
          <w:rFonts w:ascii="Arial" w:hAnsi="Arial" w:cs="Arial"/>
        </w:rPr>
      </w:pPr>
      <w:r w:rsidRPr="00F007A1">
        <w:rPr>
          <w:rFonts w:ascii="Arial" w:hAnsi="Arial" w:cs="Arial"/>
        </w:rPr>
        <w:t xml:space="preserve">To transfer the investment functions of an administering authority to the Secretary of State or a person nominated by the Secretary of State; and </w:t>
      </w:r>
    </w:p>
    <w:p w14:paraId="1CFEE36D" w14:textId="77777777" w:rsidR="001E79F2" w:rsidRPr="00F007A1" w:rsidRDefault="001E79F2" w:rsidP="001E79F2">
      <w:pPr>
        <w:pStyle w:val="ListParagraph"/>
        <w:numPr>
          <w:ilvl w:val="0"/>
          <w:numId w:val="30"/>
        </w:numPr>
        <w:tabs>
          <w:tab w:val="left" w:pos="-993"/>
        </w:tabs>
        <w:spacing w:after="200" w:line="276" w:lineRule="auto"/>
        <w:ind w:left="1276"/>
        <w:contextualSpacing/>
        <w:rPr>
          <w:rFonts w:ascii="Arial" w:hAnsi="Arial" w:cs="Arial"/>
        </w:rPr>
      </w:pPr>
      <w:r w:rsidRPr="00F007A1">
        <w:rPr>
          <w:rFonts w:ascii="Arial" w:hAnsi="Arial" w:cs="Arial"/>
        </w:rPr>
        <w:t xml:space="preserve">To require an administering authority to comply with any instructions from either the Secretary of State or the appointed person in circumstances when the investment function has been transferred. </w:t>
      </w:r>
    </w:p>
    <w:p w14:paraId="7967840B" w14:textId="77777777" w:rsidR="001E79F2" w:rsidRPr="00F007A1" w:rsidRDefault="001E79F2" w:rsidP="001E79F2">
      <w:pPr>
        <w:pStyle w:val="ListParagraph"/>
        <w:ind w:left="360"/>
        <w:rPr>
          <w:rFonts w:ascii="Arial" w:hAnsi="Arial" w:cs="Arial"/>
          <w:b/>
          <w:sz w:val="28"/>
        </w:rPr>
      </w:pPr>
    </w:p>
    <w:p w14:paraId="134183B9" w14:textId="1588C37B" w:rsidR="001E79F2" w:rsidRPr="00642DC1" w:rsidRDefault="001E79F2" w:rsidP="00642DC1">
      <w:pPr>
        <w:numPr>
          <w:ilvl w:val="1"/>
          <w:numId w:val="12"/>
        </w:numPr>
        <w:ind w:hanging="720"/>
        <w:jc w:val="both"/>
        <w:rPr>
          <w:rFonts w:ascii="Arial" w:hAnsi="Arial" w:cs="Arial"/>
          <w:lang w:val="en-GB"/>
        </w:rPr>
      </w:pPr>
      <w:r w:rsidRPr="00642DC1">
        <w:rPr>
          <w:rFonts w:ascii="Arial" w:hAnsi="Arial" w:cs="Arial"/>
          <w:lang w:val="en-GB"/>
        </w:rPr>
        <w:t xml:space="preserve">Before issuing any Direction, the Secretary of State must consult the administering authority concerned and before reaching a decision, must have regard to all relevant evidence including reports under section 13(4) of the Public Service Pensions Act 2013, reports from the Scheme Advisory Board or from the relevant local pension board and any representations made in response to the consultation with the relevant administering authority. The Secretary of State also has the power to commission any other evidence or additional information that is considered necessary. </w:t>
      </w:r>
    </w:p>
    <w:p w14:paraId="14BCD30C" w14:textId="53670F12" w:rsidR="001E79F2" w:rsidRPr="00DB76CE" w:rsidRDefault="001E79F2" w:rsidP="00CA64A0">
      <w:pPr>
        <w:autoSpaceDE w:val="0"/>
        <w:autoSpaceDN w:val="0"/>
        <w:adjustRightInd w:val="0"/>
        <w:ind w:left="567" w:hanging="567"/>
        <w:jc w:val="both"/>
        <w:rPr>
          <w:rFonts w:ascii="Arial" w:hAnsi="Arial" w:cs="Arial"/>
          <w:color w:val="000000"/>
          <w:szCs w:val="24"/>
          <w:lang w:val="en-GB" w:eastAsia="en-GB"/>
        </w:rPr>
      </w:pPr>
    </w:p>
    <w:p w14:paraId="68769E3F" w14:textId="77777777" w:rsidR="00A368EA" w:rsidRDefault="00A368EA" w:rsidP="00A368EA">
      <w:pPr>
        <w:rPr>
          <w:lang w:val="en-GB"/>
        </w:rPr>
      </w:pPr>
    </w:p>
    <w:p w14:paraId="29A1B586" w14:textId="77777777" w:rsidR="00BE3140" w:rsidRPr="00DB76CE" w:rsidRDefault="00BE3140" w:rsidP="00B72978">
      <w:pPr>
        <w:tabs>
          <w:tab w:val="left" w:pos="709"/>
        </w:tabs>
        <w:rPr>
          <w:lang w:val="en-GB"/>
        </w:rPr>
      </w:pPr>
    </w:p>
    <w:p w14:paraId="3BBD98F7" w14:textId="77777777" w:rsidR="00A54A12" w:rsidRPr="001F4FE1" w:rsidRDefault="00B422E3" w:rsidP="001F4FE1">
      <w:pPr>
        <w:pStyle w:val="Heading2"/>
        <w:numPr>
          <w:ilvl w:val="0"/>
          <w:numId w:val="31"/>
        </w:numPr>
        <w:ind w:right="425"/>
        <w:jc w:val="both"/>
        <w:rPr>
          <w:rFonts w:ascii="Arial" w:hAnsi="Arial" w:cs="Arial"/>
          <w:sz w:val="28"/>
          <w:szCs w:val="28"/>
        </w:rPr>
      </w:pPr>
      <w:r w:rsidRPr="001F4FE1">
        <w:rPr>
          <w:rFonts w:ascii="Arial" w:hAnsi="Arial" w:cs="Arial"/>
          <w:sz w:val="28"/>
          <w:szCs w:val="28"/>
        </w:rPr>
        <w:lastRenderedPageBreak/>
        <w:t>Advisers</w:t>
      </w:r>
    </w:p>
    <w:p w14:paraId="73A219EA" w14:textId="77777777" w:rsidR="00A54A12" w:rsidRPr="00642DC1" w:rsidRDefault="00A54A12" w:rsidP="008134AD">
      <w:pPr>
        <w:ind w:left="709" w:hanging="709"/>
        <w:rPr>
          <w:rFonts w:ascii="Arial" w:hAnsi="Arial" w:cs="Arial"/>
          <w:lang w:val="en-GB"/>
        </w:rPr>
      </w:pPr>
    </w:p>
    <w:p w14:paraId="5B234C05" w14:textId="77777777" w:rsidR="005C14DD" w:rsidRPr="00F007A1" w:rsidRDefault="005C14DD" w:rsidP="005C14DD">
      <w:pPr>
        <w:numPr>
          <w:ilvl w:val="1"/>
          <w:numId w:val="32"/>
        </w:numPr>
        <w:jc w:val="both"/>
        <w:rPr>
          <w:rFonts w:ascii="Arial" w:hAnsi="Arial" w:cs="Arial"/>
          <w:lang w:val="en-GB"/>
        </w:rPr>
      </w:pPr>
      <w:r w:rsidRPr="001F4FE1">
        <w:rPr>
          <w:rFonts w:ascii="Arial" w:hAnsi="Arial" w:cs="Arial"/>
          <w:lang w:val="en-GB"/>
        </w:rPr>
        <w:t xml:space="preserve"> </w:t>
      </w:r>
      <w:r w:rsidRPr="001F4FE1">
        <w:rPr>
          <w:rFonts w:ascii="Arial" w:hAnsi="Arial" w:cs="Arial"/>
          <w:lang w:val="en-GB"/>
        </w:rPr>
        <w:tab/>
      </w:r>
      <w:r w:rsidR="00A54A12" w:rsidRPr="001F4FE1">
        <w:rPr>
          <w:rFonts w:ascii="Arial" w:hAnsi="Arial" w:cs="Arial"/>
          <w:lang w:val="en-GB"/>
        </w:rPr>
        <w:t xml:space="preserve">Regulation 7 </w:t>
      </w:r>
      <w:r w:rsidR="00504C8D" w:rsidRPr="001F4FE1">
        <w:rPr>
          <w:rFonts w:ascii="Arial" w:hAnsi="Arial" w:cs="Arial"/>
          <w:lang w:val="en-GB"/>
        </w:rPr>
        <w:t xml:space="preserve">of the Regulations </w:t>
      </w:r>
      <w:r w:rsidR="00A54A12" w:rsidRPr="001F4FE1">
        <w:rPr>
          <w:rFonts w:ascii="Arial" w:hAnsi="Arial" w:cs="Arial"/>
          <w:lang w:val="en-GB"/>
        </w:rPr>
        <w:t xml:space="preserve">requires the Council to take proper advice when </w:t>
      </w:r>
      <w:r w:rsidRPr="00F007A1">
        <w:rPr>
          <w:rFonts w:ascii="Arial" w:hAnsi="Arial" w:cs="Arial"/>
          <w:lang w:val="en-GB"/>
        </w:rPr>
        <w:t xml:space="preserve"> </w:t>
      </w:r>
    </w:p>
    <w:p w14:paraId="2CC90C36" w14:textId="2F647261" w:rsidR="00751CFC" w:rsidRPr="00464454" w:rsidRDefault="004524E6" w:rsidP="001F4FE1">
      <w:pPr>
        <w:ind w:left="720"/>
        <w:jc w:val="both"/>
        <w:rPr>
          <w:rFonts w:ascii="Arial" w:hAnsi="Arial" w:cs="Arial"/>
          <w:lang w:val="en-GB"/>
        </w:rPr>
      </w:pPr>
      <w:r w:rsidRPr="001F4FE1">
        <w:rPr>
          <w:rFonts w:ascii="Arial" w:hAnsi="Arial" w:cs="Arial"/>
          <w:lang w:val="en-GB"/>
        </w:rPr>
        <w:t>m</w:t>
      </w:r>
      <w:r w:rsidR="00A54A12" w:rsidRPr="001F4FE1">
        <w:rPr>
          <w:rFonts w:ascii="Arial" w:hAnsi="Arial" w:cs="Arial"/>
          <w:lang w:val="en-GB"/>
        </w:rPr>
        <w:t xml:space="preserve">aking decisions in connection with the </w:t>
      </w:r>
      <w:r w:rsidR="004052B9" w:rsidRPr="001F4FE1">
        <w:rPr>
          <w:rFonts w:ascii="Arial" w:hAnsi="Arial" w:cs="Arial"/>
          <w:lang w:val="en-GB"/>
        </w:rPr>
        <w:t xml:space="preserve">investment strategy </w:t>
      </w:r>
      <w:r w:rsidR="00A54A12" w:rsidRPr="001F4FE1">
        <w:rPr>
          <w:rFonts w:ascii="Arial" w:hAnsi="Arial" w:cs="Arial"/>
          <w:lang w:val="en-GB"/>
        </w:rPr>
        <w:t xml:space="preserve">of the Fund. In addition to the expertise of the </w:t>
      </w:r>
      <w:r w:rsidR="008E48F5" w:rsidRPr="00464454">
        <w:rPr>
          <w:rFonts w:ascii="Arial" w:hAnsi="Arial" w:cs="Arial"/>
          <w:lang w:val="en-GB"/>
        </w:rPr>
        <w:t>m</w:t>
      </w:r>
      <w:r w:rsidR="00A54A12" w:rsidRPr="00464454">
        <w:rPr>
          <w:rFonts w:ascii="Arial" w:hAnsi="Arial" w:cs="Arial"/>
          <w:lang w:val="en-GB"/>
        </w:rPr>
        <w:t>embers of the Pension Fund Committee and Council officers</w:t>
      </w:r>
      <w:r w:rsidR="00C2139E" w:rsidRPr="00464454">
        <w:rPr>
          <w:rFonts w:ascii="Arial" w:hAnsi="Arial" w:cs="Arial"/>
          <w:lang w:val="en-GB"/>
        </w:rPr>
        <w:t>,</w:t>
      </w:r>
      <w:r w:rsidR="00A54A12" w:rsidRPr="00464454">
        <w:rPr>
          <w:rFonts w:ascii="Arial" w:hAnsi="Arial" w:cs="Arial"/>
          <w:lang w:val="en-GB"/>
        </w:rPr>
        <w:t xml:space="preserve"> </w:t>
      </w:r>
      <w:r w:rsidR="00504C8D" w:rsidRPr="00464454">
        <w:rPr>
          <w:rFonts w:ascii="Arial" w:hAnsi="Arial" w:cs="Arial"/>
          <w:lang w:val="en-GB"/>
        </w:rPr>
        <w:t xml:space="preserve">such </w:t>
      </w:r>
      <w:r w:rsidR="00751CFC" w:rsidRPr="00464454">
        <w:rPr>
          <w:rFonts w:ascii="Arial" w:hAnsi="Arial" w:cs="Arial"/>
          <w:lang w:val="en-GB"/>
        </w:rPr>
        <w:t>advice is taken from</w:t>
      </w:r>
      <w:r w:rsidR="004C08D6" w:rsidRPr="00464454">
        <w:rPr>
          <w:rFonts w:ascii="Arial" w:hAnsi="Arial" w:cs="Arial"/>
          <w:lang w:val="en-GB"/>
        </w:rPr>
        <w:t>:</w:t>
      </w:r>
    </w:p>
    <w:p w14:paraId="713D81E3" w14:textId="5441E4DB" w:rsidR="005C14DD" w:rsidRPr="00464454" w:rsidRDefault="005C14DD" w:rsidP="00642DC1">
      <w:pPr>
        <w:pStyle w:val="BodyTextIndent2"/>
        <w:numPr>
          <w:ilvl w:val="0"/>
          <w:numId w:val="19"/>
        </w:numPr>
        <w:tabs>
          <w:tab w:val="left" w:pos="567"/>
          <w:tab w:val="left" w:pos="1701"/>
        </w:tabs>
        <w:ind w:left="1701" w:hanging="567"/>
        <w:jc w:val="both"/>
        <w:rPr>
          <w:szCs w:val="24"/>
        </w:rPr>
      </w:pPr>
      <w:r w:rsidRPr="000027F1">
        <w:rPr>
          <w:szCs w:val="24"/>
        </w:rPr>
        <w:t>Aon Solutions UK Ltd ("Aon") –</w:t>
      </w:r>
      <w:r w:rsidRPr="00464454">
        <w:rPr>
          <w:szCs w:val="24"/>
        </w:rPr>
        <w:t xml:space="preserve"> investment consultants</w:t>
      </w:r>
      <w:r w:rsidR="007C738C" w:rsidRPr="00464454">
        <w:rPr>
          <w:szCs w:val="24"/>
        </w:rPr>
        <w:t xml:space="preserve"> to August 2024 and Mercer </w:t>
      </w:r>
      <w:r w:rsidR="00042085" w:rsidRPr="00464454">
        <w:rPr>
          <w:szCs w:val="24"/>
        </w:rPr>
        <w:t xml:space="preserve">from August 2024 </w:t>
      </w:r>
      <w:r w:rsidR="007C738C" w:rsidRPr="00464454">
        <w:rPr>
          <w:szCs w:val="24"/>
        </w:rPr>
        <w:t xml:space="preserve"> </w:t>
      </w:r>
    </w:p>
    <w:p w14:paraId="17D1E337" w14:textId="0154DE36" w:rsidR="008E48F5" w:rsidRPr="00464454" w:rsidRDefault="005C14DD" w:rsidP="004B5F6A">
      <w:pPr>
        <w:pStyle w:val="BodyTextIndent2"/>
        <w:numPr>
          <w:ilvl w:val="0"/>
          <w:numId w:val="19"/>
        </w:numPr>
        <w:tabs>
          <w:tab w:val="left" w:pos="567"/>
          <w:tab w:val="left" w:pos="1701"/>
        </w:tabs>
        <w:ind w:left="1701" w:hanging="567"/>
        <w:jc w:val="both"/>
        <w:rPr>
          <w:szCs w:val="24"/>
        </w:rPr>
      </w:pPr>
      <w:r w:rsidRPr="00464454">
        <w:rPr>
          <w:szCs w:val="24"/>
        </w:rPr>
        <w:t xml:space="preserve">The Fund’s </w:t>
      </w:r>
      <w:r w:rsidR="004C08D6" w:rsidRPr="00464454">
        <w:rPr>
          <w:szCs w:val="24"/>
        </w:rPr>
        <w:t>Independent advisers</w:t>
      </w:r>
    </w:p>
    <w:p w14:paraId="10E7143A" w14:textId="799549D5" w:rsidR="005C14DD" w:rsidRPr="00F007A1" w:rsidRDefault="005C14DD" w:rsidP="004B5F6A">
      <w:pPr>
        <w:pStyle w:val="BodyTextIndent2"/>
        <w:numPr>
          <w:ilvl w:val="0"/>
          <w:numId w:val="19"/>
        </w:numPr>
        <w:tabs>
          <w:tab w:val="left" w:pos="567"/>
          <w:tab w:val="left" w:pos="1701"/>
        </w:tabs>
        <w:ind w:left="1701" w:hanging="567"/>
        <w:jc w:val="both"/>
        <w:rPr>
          <w:szCs w:val="24"/>
        </w:rPr>
      </w:pPr>
      <w:r w:rsidRPr="00F007A1">
        <w:rPr>
          <w:szCs w:val="24"/>
        </w:rPr>
        <w:t>The Director of Finance &amp; Assurance</w:t>
      </w:r>
    </w:p>
    <w:p w14:paraId="3E5C0F2D" w14:textId="3B84B4E1" w:rsidR="005C14DD" w:rsidRPr="00F007A1" w:rsidRDefault="005C14DD" w:rsidP="004B5F6A">
      <w:pPr>
        <w:pStyle w:val="BodyTextIndent2"/>
        <w:numPr>
          <w:ilvl w:val="0"/>
          <w:numId w:val="19"/>
        </w:numPr>
        <w:tabs>
          <w:tab w:val="left" w:pos="567"/>
          <w:tab w:val="left" w:pos="1701"/>
        </w:tabs>
        <w:ind w:left="1701" w:hanging="567"/>
        <w:jc w:val="both"/>
        <w:rPr>
          <w:szCs w:val="24"/>
        </w:rPr>
      </w:pPr>
      <w:r w:rsidRPr="00F007A1">
        <w:rPr>
          <w:szCs w:val="24"/>
        </w:rPr>
        <w:t xml:space="preserve">The </w:t>
      </w:r>
      <w:r w:rsidR="00C2139E" w:rsidRPr="00F007A1">
        <w:rPr>
          <w:szCs w:val="24"/>
        </w:rPr>
        <w:t xml:space="preserve">Council’s </w:t>
      </w:r>
      <w:r w:rsidRPr="00F007A1">
        <w:rPr>
          <w:szCs w:val="24"/>
        </w:rPr>
        <w:t>Legal Services</w:t>
      </w:r>
    </w:p>
    <w:p w14:paraId="413329B3" w14:textId="797967B7" w:rsidR="005C14DD" w:rsidRPr="00F007A1" w:rsidRDefault="005C14DD" w:rsidP="004B5F6A">
      <w:pPr>
        <w:pStyle w:val="BodyTextIndent2"/>
        <w:numPr>
          <w:ilvl w:val="0"/>
          <w:numId w:val="19"/>
        </w:numPr>
        <w:tabs>
          <w:tab w:val="left" w:pos="567"/>
          <w:tab w:val="left" w:pos="1701"/>
        </w:tabs>
        <w:ind w:left="1701" w:hanging="567"/>
        <w:jc w:val="both"/>
        <w:rPr>
          <w:szCs w:val="24"/>
        </w:rPr>
      </w:pPr>
      <w:r w:rsidRPr="00F007A1">
        <w:rPr>
          <w:szCs w:val="24"/>
        </w:rPr>
        <w:t>The Fund’s investment managers</w:t>
      </w:r>
    </w:p>
    <w:p w14:paraId="6A06744B" w14:textId="77777777" w:rsidR="00A54A12" w:rsidRPr="00F007A1" w:rsidRDefault="00A54A12" w:rsidP="0014693B">
      <w:pPr>
        <w:pStyle w:val="BodyTextIndent2"/>
        <w:tabs>
          <w:tab w:val="left" w:pos="567"/>
          <w:tab w:val="left" w:pos="1701"/>
        </w:tabs>
        <w:ind w:left="1701" w:firstLine="0"/>
        <w:jc w:val="both"/>
        <w:rPr>
          <w:szCs w:val="24"/>
        </w:rPr>
      </w:pPr>
    </w:p>
    <w:p w14:paraId="14A84DBF" w14:textId="7FD5EA36" w:rsidR="0011444C" w:rsidRPr="00F007A1" w:rsidRDefault="00504C8D"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F007A1">
        <w:rPr>
          <w:rFonts w:ascii="Arial" w:hAnsi="Arial" w:cs="Arial"/>
          <w:color w:val="000000"/>
          <w:szCs w:val="24"/>
          <w:lang w:val="en-GB" w:eastAsia="en-GB"/>
        </w:rPr>
        <w:t>Actuarial advice</w:t>
      </w:r>
      <w:r w:rsidR="00CF5EB1" w:rsidRPr="00F007A1">
        <w:rPr>
          <w:rFonts w:ascii="Arial" w:hAnsi="Arial" w:cs="Arial"/>
          <w:color w:val="000000"/>
          <w:szCs w:val="24"/>
          <w:lang w:val="en-GB" w:eastAsia="en-GB"/>
        </w:rPr>
        <w:t>, which can have implications for investment strategy,</w:t>
      </w:r>
      <w:r w:rsidRPr="00F007A1">
        <w:rPr>
          <w:rFonts w:ascii="Arial" w:hAnsi="Arial" w:cs="Arial"/>
          <w:color w:val="000000"/>
          <w:szCs w:val="24"/>
          <w:lang w:val="en-GB" w:eastAsia="en-GB"/>
        </w:rPr>
        <w:t xml:space="preserve"> is provided by Hymans Robertson LLP</w:t>
      </w:r>
      <w:r w:rsidR="00BF6D04">
        <w:rPr>
          <w:rFonts w:ascii="Arial" w:hAnsi="Arial" w:cs="Arial"/>
          <w:color w:val="000000"/>
          <w:szCs w:val="24"/>
          <w:lang w:val="en-GB" w:eastAsia="en-GB"/>
        </w:rPr>
        <w:t>.</w:t>
      </w:r>
      <w:r w:rsidRPr="00F007A1">
        <w:rPr>
          <w:rFonts w:ascii="Arial" w:hAnsi="Arial" w:cs="Arial"/>
          <w:color w:val="000000"/>
          <w:szCs w:val="24"/>
          <w:lang w:val="en-GB" w:eastAsia="en-GB"/>
        </w:rPr>
        <w:t xml:space="preserve"> </w:t>
      </w:r>
    </w:p>
    <w:p w14:paraId="17BB4C77" w14:textId="77777777" w:rsidR="00504C8D" w:rsidRPr="00F007A1" w:rsidRDefault="00504C8D" w:rsidP="008134AD">
      <w:pPr>
        <w:autoSpaceDE w:val="0"/>
        <w:autoSpaceDN w:val="0"/>
        <w:adjustRightInd w:val="0"/>
        <w:ind w:left="709" w:hanging="709"/>
        <w:jc w:val="both"/>
        <w:rPr>
          <w:rFonts w:ascii="Arial" w:hAnsi="Arial" w:cs="Arial"/>
          <w:color w:val="000000"/>
          <w:szCs w:val="24"/>
          <w:lang w:val="en-GB" w:eastAsia="en-GB"/>
        </w:rPr>
      </w:pPr>
    </w:p>
    <w:p w14:paraId="07712DED" w14:textId="77777777" w:rsidR="00BE3140" w:rsidRPr="00F007A1" w:rsidRDefault="00BE3140" w:rsidP="008134AD">
      <w:pPr>
        <w:autoSpaceDE w:val="0"/>
        <w:autoSpaceDN w:val="0"/>
        <w:adjustRightInd w:val="0"/>
        <w:ind w:left="709" w:hanging="709"/>
        <w:jc w:val="both"/>
        <w:rPr>
          <w:rFonts w:ascii="Arial" w:hAnsi="Arial" w:cs="Arial"/>
          <w:color w:val="000000"/>
          <w:szCs w:val="24"/>
          <w:lang w:val="en-GB" w:eastAsia="en-GB"/>
        </w:rPr>
      </w:pPr>
    </w:p>
    <w:p w14:paraId="1BFB9585" w14:textId="77777777" w:rsidR="0011444C" w:rsidRPr="001F4FE1" w:rsidRDefault="0011444C" w:rsidP="001F4FE1">
      <w:pPr>
        <w:pStyle w:val="Heading2"/>
        <w:numPr>
          <w:ilvl w:val="0"/>
          <w:numId w:val="32"/>
        </w:numPr>
        <w:ind w:left="709" w:right="425" w:hanging="709"/>
        <w:jc w:val="both"/>
        <w:rPr>
          <w:rFonts w:ascii="Arial" w:hAnsi="Arial" w:cs="Arial"/>
          <w:sz w:val="28"/>
          <w:szCs w:val="28"/>
        </w:rPr>
      </w:pPr>
      <w:r w:rsidRPr="001F4FE1">
        <w:rPr>
          <w:rFonts w:ascii="Arial" w:hAnsi="Arial" w:cs="Arial"/>
          <w:sz w:val="28"/>
          <w:szCs w:val="28"/>
        </w:rPr>
        <w:t>Objective of the Fund</w:t>
      </w:r>
    </w:p>
    <w:p w14:paraId="1DA3E08B" w14:textId="77777777" w:rsidR="0011444C" w:rsidRPr="00642DC1" w:rsidRDefault="0011444C" w:rsidP="008134AD">
      <w:pPr>
        <w:ind w:left="709" w:hanging="709"/>
        <w:rPr>
          <w:rFonts w:ascii="Arial" w:hAnsi="Arial" w:cs="Arial"/>
          <w:lang w:val="en-GB"/>
        </w:rPr>
      </w:pPr>
    </w:p>
    <w:p w14:paraId="32E9E414" w14:textId="3AD81A04" w:rsidR="00EA01BB" w:rsidRPr="00642DC1" w:rsidRDefault="00EA01BB"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The objective of the Fund is to provide pension and lump sum benefits for members on their retirement and/or benefits on death, before or after retirement, for their dependants, on a defined benefits basis. The sums required to fund these benefits and the amounts actually held (i</w:t>
      </w:r>
      <w:r w:rsidR="00C41B9E">
        <w:rPr>
          <w:rFonts w:ascii="Arial" w:hAnsi="Arial" w:cs="Arial"/>
          <w:color w:val="000000"/>
          <w:szCs w:val="24"/>
          <w:lang w:val="en-GB" w:eastAsia="en-GB"/>
        </w:rPr>
        <w:t>.</w:t>
      </w:r>
      <w:r w:rsidRPr="00642DC1">
        <w:rPr>
          <w:rFonts w:ascii="Arial" w:hAnsi="Arial" w:cs="Arial"/>
          <w:color w:val="000000"/>
          <w:szCs w:val="24"/>
          <w:lang w:val="en-GB" w:eastAsia="en-GB"/>
        </w:rPr>
        <w:t>e</w:t>
      </w:r>
      <w:r w:rsidR="00C41B9E">
        <w:rPr>
          <w:rFonts w:ascii="Arial" w:hAnsi="Arial" w:cs="Arial"/>
          <w:color w:val="000000"/>
          <w:szCs w:val="24"/>
          <w:lang w:val="en-GB" w:eastAsia="en-GB"/>
        </w:rPr>
        <w:t>.</w:t>
      </w:r>
      <w:r w:rsidRPr="00642DC1">
        <w:rPr>
          <w:rFonts w:ascii="Arial" w:hAnsi="Arial" w:cs="Arial"/>
          <w:color w:val="000000"/>
          <w:szCs w:val="24"/>
          <w:lang w:val="en-GB" w:eastAsia="en-GB"/>
        </w:rPr>
        <w:t xml:space="preserve"> the funding position) </w:t>
      </w:r>
      <w:r w:rsidR="00642235" w:rsidRPr="00642DC1">
        <w:rPr>
          <w:rFonts w:ascii="Arial" w:hAnsi="Arial" w:cs="Arial"/>
          <w:color w:val="000000"/>
          <w:szCs w:val="24"/>
          <w:lang w:val="en-GB" w:eastAsia="en-GB"/>
        </w:rPr>
        <w:t>are</w:t>
      </w:r>
      <w:r w:rsidRPr="00642DC1">
        <w:rPr>
          <w:rFonts w:ascii="Arial" w:hAnsi="Arial" w:cs="Arial"/>
          <w:color w:val="000000"/>
          <w:szCs w:val="24"/>
          <w:lang w:val="en-GB" w:eastAsia="en-GB"/>
        </w:rPr>
        <w:t xml:space="preserve"> reviewed at each triennial actuarial valuation, or more frequently as required.</w:t>
      </w:r>
    </w:p>
    <w:p w14:paraId="51DF93DA" w14:textId="77777777" w:rsidR="0011444C" w:rsidRPr="001F4FE1" w:rsidRDefault="0011444C" w:rsidP="008134AD">
      <w:pPr>
        <w:autoSpaceDE w:val="0"/>
        <w:autoSpaceDN w:val="0"/>
        <w:adjustRightInd w:val="0"/>
        <w:ind w:left="709" w:hanging="709"/>
        <w:jc w:val="both"/>
        <w:rPr>
          <w:rFonts w:ascii="Arial" w:hAnsi="Arial" w:cs="Arial"/>
          <w:color w:val="000000"/>
          <w:szCs w:val="24"/>
          <w:lang w:val="en-GB" w:eastAsia="en-GB"/>
        </w:rPr>
      </w:pPr>
    </w:p>
    <w:p w14:paraId="09380211" w14:textId="2275E558" w:rsidR="00392DBC" w:rsidRPr="00C41B9E" w:rsidRDefault="00392DBC" w:rsidP="00642DC1">
      <w:pPr>
        <w:numPr>
          <w:ilvl w:val="1"/>
          <w:numId w:val="32"/>
        </w:numPr>
        <w:autoSpaceDE w:val="0"/>
        <w:autoSpaceDN w:val="0"/>
        <w:adjustRightInd w:val="0"/>
        <w:ind w:left="709" w:hanging="709"/>
        <w:jc w:val="both"/>
        <w:rPr>
          <w:rFonts w:ascii="Arial" w:hAnsi="Arial" w:cs="Arial"/>
          <w:b/>
          <w:color w:val="000000"/>
          <w:szCs w:val="24"/>
          <w:lang w:eastAsia="en-GB"/>
        </w:rPr>
      </w:pPr>
      <w:r w:rsidRPr="00C41B9E">
        <w:rPr>
          <w:rFonts w:ascii="Arial" w:hAnsi="Arial" w:cs="Arial"/>
          <w:color w:val="000000"/>
          <w:szCs w:val="24"/>
          <w:lang w:val="en-GB" w:eastAsia="en-GB"/>
        </w:rPr>
        <w:t xml:space="preserve">The assets of the Fund are invested with the primary objective being to achieve a return that is sufficient to meet </w:t>
      </w:r>
      <w:r w:rsidR="00A24365" w:rsidRPr="00C41B9E">
        <w:rPr>
          <w:rFonts w:ascii="Arial" w:hAnsi="Arial" w:cs="Arial"/>
          <w:color w:val="000000"/>
          <w:szCs w:val="24"/>
          <w:lang w:val="en-GB" w:eastAsia="en-GB"/>
        </w:rPr>
        <w:t>the funding</w:t>
      </w:r>
      <w:r w:rsidRPr="00C41B9E">
        <w:rPr>
          <w:rFonts w:ascii="Arial" w:hAnsi="Arial" w:cs="Arial"/>
          <w:color w:val="000000"/>
          <w:szCs w:val="24"/>
          <w:lang w:val="en-GB" w:eastAsia="en-GB"/>
        </w:rPr>
        <w:t xml:space="preserve"> objective as set out above, subject to an appropriate level of risk and liquidity. </w:t>
      </w:r>
      <w:r w:rsidR="00387D43" w:rsidRPr="00C41B9E">
        <w:rPr>
          <w:rFonts w:ascii="Arial" w:hAnsi="Arial" w:cs="Arial"/>
          <w:lang w:eastAsia="en-GB"/>
        </w:rPr>
        <w:t>Over the long-term</w:t>
      </w:r>
      <w:r w:rsidRPr="00C41B9E">
        <w:rPr>
          <w:rFonts w:ascii="Arial" w:hAnsi="Arial" w:cs="Arial"/>
          <w:lang w:eastAsia="en-GB"/>
        </w:rPr>
        <w:t xml:space="preserve"> it is expected that the Fund’s investment returns will be at least in line with the assumptions underlying the actuarial valuation.</w:t>
      </w:r>
    </w:p>
    <w:p w14:paraId="44B400EB" w14:textId="77777777" w:rsidR="00392DBC" w:rsidRPr="001F4FE1" w:rsidRDefault="00392DBC" w:rsidP="008134AD">
      <w:pPr>
        <w:pStyle w:val="Heading2"/>
        <w:ind w:left="709" w:right="425" w:hanging="709"/>
        <w:jc w:val="both"/>
        <w:rPr>
          <w:rFonts w:ascii="Arial" w:hAnsi="Arial" w:cs="Arial"/>
          <w:b w:val="0"/>
          <w:color w:val="000000"/>
          <w:szCs w:val="24"/>
          <w:lang w:eastAsia="en-GB"/>
        </w:rPr>
      </w:pPr>
    </w:p>
    <w:p w14:paraId="489420CC" w14:textId="3F044925" w:rsidR="00617341" w:rsidRPr="00642DC1" w:rsidRDefault="00392DBC" w:rsidP="00642DC1">
      <w:pPr>
        <w:numPr>
          <w:ilvl w:val="1"/>
          <w:numId w:val="32"/>
        </w:numPr>
        <w:autoSpaceDE w:val="0"/>
        <w:autoSpaceDN w:val="0"/>
        <w:adjustRightInd w:val="0"/>
        <w:ind w:left="709" w:hanging="709"/>
        <w:jc w:val="both"/>
        <w:rPr>
          <w:rFonts w:ascii="Arial" w:hAnsi="Arial" w:cs="Arial"/>
          <w:b/>
          <w:color w:val="000000"/>
          <w:szCs w:val="24"/>
          <w:lang w:eastAsia="en-GB"/>
        </w:rPr>
      </w:pPr>
      <w:r w:rsidRPr="00F007A1">
        <w:rPr>
          <w:rFonts w:ascii="Arial" w:hAnsi="Arial" w:cs="Arial"/>
          <w:color w:val="000000"/>
          <w:szCs w:val="24"/>
          <w:lang w:val="en-GB" w:eastAsia="en-GB"/>
        </w:rPr>
        <w:t xml:space="preserve">Related objectives are to seek to minimise </w:t>
      </w:r>
      <w:r w:rsidR="00A24365" w:rsidRPr="00F007A1">
        <w:rPr>
          <w:rFonts w:ascii="Arial" w:hAnsi="Arial" w:cs="Arial"/>
          <w:color w:val="000000"/>
          <w:szCs w:val="24"/>
          <w:lang w:val="en-GB" w:eastAsia="en-GB"/>
        </w:rPr>
        <w:t xml:space="preserve">the </w:t>
      </w:r>
      <w:r w:rsidR="00A24365" w:rsidRPr="00642DC1">
        <w:rPr>
          <w:rFonts w:ascii="Arial" w:hAnsi="Arial" w:cs="Arial"/>
          <w:color w:val="000000"/>
          <w:szCs w:val="24"/>
          <w:lang w:val="en-GB" w:eastAsia="en-GB"/>
        </w:rPr>
        <w:t>level</w:t>
      </w:r>
      <w:r w:rsidR="00617341" w:rsidRPr="00642DC1">
        <w:rPr>
          <w:rFonts w:ascii="Arial" w:hAnsi="Arial" w:cs="Arial"/>
          <w:color w:val="000000"/>
          <w:szCs w:val="24"/>
          <w:lang w:val="en-GB" w:eastAsia="en-GB"/>
        </w:rPr>
        <w:t xml:space="preserve"> </w:t>
      </w:r>
      <w:r w:rsidRPr="00642DC1">
        <w:rPr>
          <w:rFonts w:ascii="Arial" w:hAnsi="Arial" w:cs="Arial"/>
          <w:color w:val="000000"/>
          <w:szCs w:val="24"/>
          <w:lang w:val="en-GB" w:eastAsia="en-GB"/>
        </w:rPr>
        <w:t xml:space="preserve">and volatility </w:t>
      </w:r>
      <w:r w:rsidR="00617341" w:rsidRPr="00642DC1">
        <w:rPr>
          <w:rFonts w:ascii="Arial" w:hAnsi="Arial" w:cs="Arial"/>
          <w:color w:val="000000"/>
          <w:szCs w:val="24"/>
          <w:lang w:val="en-GB" w:eastAsia="en-GB"/>
        </w:rPr>
        <w:t xml:space="preserve">of employer contributions </w:t>
      </w:r>
      <w:r w:rsidR="003A2626" w:rsidRPr="00642DC1">
        <w:rPr>
          <w:rFonts w:ascii="Arial" w:hAnsi="Arial" w:cs="Arial"/>
          <w:color w:val="000000"/>
          <w:szCs w:val="24"/>
          <w:lang w:val="en-GB" w:eastAsia="en-GB"/>
        </w:rPr>
        <w:t>necessary</w:t>
      </w:r>
      <w:r w:rsidR="00617341" w:rsidRPr="00642DC1">
        <w:rPr>
          <w:rFonts w:ascii="Arial" w:hAnsi="Arial" w:cs="Arial"/>
          <w:color w:val="000000"/>
          <w:szCs w:val="24"/>
          <w:lang w:val="en-GB" w:eastAsia="en-GB"/>
        </w:rPr>
        <w:t xml:space="preserve"> to meet the cost of pension benefits</w:t>
      </w:r>
      <w:r w:rsidR="00DD2E66" w:rsidRPr="00642DC1">
        <w:rPr>
          <w:rFonts w:ascii="Arial" w:hAnsi="Arial" w:cs="Arial"/>
          <w:color w:val="000000"/>
          <w:szCs w:val="24"/>
          <w:lang w:val="en-GB" w:eastAsia="en-GB"/>
        </w:rPr>
        <w:t>.</w:t>
      </w:r>
    </w:p>
    <w:p w14:paraId="75BAFB63" w14:textId="77777777" w:rsidR="00617341" w:rsidRDefault="00617341" w:rsidP="008134AD">
      <w:pPr>
        <w:pStyle w:val="BodyTextIndent2"/>
        <w:ind w:left="709" w:right="4" w:hanging="709"/>
        <w:jc w:val="both"/>
        <w:rPr>
          <w:lang w:val="en-GB"/>
        </w:rPr>
      </w:pPr>
    </w:p>
    <w:p w14:paraId="214AF788" w14:textId="77777777" w:rsidR="00BE3140" w:rsidRPr="00DB76CE" w:rsidRDefault="00BE3140" w:rsidP="008134AD">
      <w:pPr>
        <w:pStyle w:val="BodyTextIndent2"/>
        <w:ind w:left="709" w:right="4" w:hanging="709"/>
        <w:jc w:val="both"/>
        <w:rPr>
          <w:lang w:val="en-GB"/>
        </w:rPr>
      </w:pPr>
    </w:p>
    <w:p w14:paraId="5406EBE7" w14:textId="77777777" w:rsidR="002E679E" w:rsidRDefault="002E679E" w:rsidP="00642DC1">
      <w:pPr>
        <w:pStyle w:val="Heading2"/>
        <w:numPr>
          <w:ilvl w:val="0"/>
          <w:numId w:val="32"/>
        </w:numPr>
        <w:ind w:left="709" w:right="425" w:hanging="709"/>
        <w:jc w:val="both"/>
        <w:rPr>
          <w:rFonts w:ascii="Arial" w:hAnsi="Arial" w:cs="Arial"/>
          <w:sz w:val="28"/>
          <w:szCs w:val="28"/>
        </w:rPr>
      </w:pPr>
      <w:r>
        <w:rPr>
          <w:rFonts w:ascii="Arial" w:hAnsi="Arial" w:cs="Arial"/>
          <w:sz w:val="28"/>
          <w:szCs w:val="28"/>
        </w:rPr>
        <w:t>Investment beliefs</w:t>
      </w:r>
    </w:p>
    <w:p w14:paraId="2894F268" w14:textId="77777777" w:rsidR="002E679E" w:rsidRDefault="002E679E" w:rsidP="008134AD">
      <w:pPr>
        <w:ind w:left="709" w:hanging="709"/>
        <w:rPr>
          <w:lang w:val="en-GB"/>
        </w:rPr>
      </w:pPr>
    </w:p>
    <w:p w14:paraId="7524526D" w14:textId="79921AAF" w:rsidR="002E679E" w:rsidRPr="00642DC1" w:rsidRDefault="002E679E" w:rsidP="001F4FE1">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 xml:space="preserve">The </w:t>
      </w:r>
      <w:r w:rsidRPr="00642DC1">
        <w:rPr>
          <w:rFonts w:ascii="Arial" w:hAnsi="Arial" w:cs="Arial"/>
          <w:color w:val="000000"/>
          <w:szCs w:val="24"/>
          <w:lang w:val="en-GB" w:eastAsia="en-GB"/>
        </w:rPr>
        <w:t xml:space="preserve">Fund’s fundamental investment beliefs which </w:t>
      </w:r>
      <w:r w:rsidR="00A24365" w:rsidRPr="00642DC1">
        <w:rPr>
          <w:rFonts w:ascii="Arial" w:hAnsi="Arial" w:cs="Arial"/>
          <w:color w:val="000000"/>
          <w:szCs w:val="24"/>
          <w:lang w:val="en-GB" w:eastAsia="en-GB"/>
        </w:rPr>
        <w:t>inform its</w:t>
      </w:r>
      <w:r w:rsidR="00620906" w:rsidRPr="00642DC1">
        <w:rPr>
          <w:rFonts w:ascii="Arial" w:hAnsi="Arial" w:cs="Arial"/>
          <w:color w:val="000000"/>
          <w:szCs w:val="24"/>
          <w:lang w:val="en-GB" w:eastAsia="en-GB"/>
        </w:rPr>
        <w:t xml:space="preserve"> strategy and guide its </w:t>
      </w:r>
      <w:r w:rsidRPr="00642DC1">
        <w:rPr>
          <w:rFonts w:ascii="Arial" w:hAnsi="Arial" w:cs="Arial"/>
          <w:color w:val="000000"/>
          <w:szCs w:val="24"/>
          <w:lang w:val="en-GB" w:eastAsia="en-GB"/>
        </w:rPr>
        <w:t>decision making are:</w:t>
      </w:r>
    </w:p>
    <w:p w14:paraId="0D7B06DA" w14:textId="77777777" w:rsidR="002E679E" w:rsidRDefault="002E679E" w:rsidP="004B5F6A">
      <w:pPr>
        <w:pStyle w:val="BodyTextIndent2"/>
        <w:numPr>
          <w:ilvl w:val="0"/>
          <w:numId w:val="19"/>
        </w:numPr>
        <w:tabs>
          <w:tab w:val="left" w:pos="567"/>
          <w:tab w:val="left" w:pos="1701"/>
        </w:tabs>
        <w:ind w:left="1701" w:hanging="567"/>
        <w:jc w:val="both"/>
        <w:rPr>
          <w:lang w:val="en-GB"/>
        </w:rPr>
      </w:pPr>
      <w:r w:rsidRPr="007655B1">
        <w:rPr>
          <w:szCs w:val="24"/>
        </w:rPr>
        <w:t xml:space="preserve">The </w:t>
      </w:r>
      <w:r>
        <w:rPr>
          <w:szCs w:val="24"/>
        </w:rPr>
        <w:t>Fund</w:t>
      </w:r>
      <w:r w:rsidRPr="007655B1">
        <w:rPr>
          <w:szCs w:val="24"/>
        </w:rPr>
        <w:t xml:space="preserve"> has a paramount duty to seek to obtain the best possible </w:t>
      </w:r>
      <w:r w:rsidR="00620906">
        <w:rPr>
          <w:szCs w:val="24"/>
        </w:rPr>
        <w:t xml:space="preserve">  </w:t>
      </w:r>
      <w:r w:rsidRPr="007655B1">
        <w:rPr>
          <w:szCs w:val="24"/>
        </w:rPr>
        <w:t xml:space="preserve">return on </w:t>
      </w:r>
      <w:r>
        <w:rPr>
          <w:szCs w:val="24"/>
        </w:rPr>
        <w:t>its</w:t>
      </w:r>
      <w:r w:rsidRPr="007655B1">
        <w:rPr>
          <w:szCs w:val="24"/>
        </w:rPr>
        <w:t xml:space="preserve"> investments taking into account a properly considered level of risk.</w:t>
      </w:r>
    </w:p>
    <w:p w14:paraId="43C2985C" w14:textId="77777777" w:rsidR="002E679E" w:rsidRDefault="002E679E" w:rsidP="004B5F6A">
      <w:pPr>
        <w:pStyle w:val="BodyTextIndent2"/>
        <w:numPr>
          <w:ilvl w:val="0"/>
          <w:numId w:val="18"/>
        </w:numPr>
        <w:tabs>
          <w:tab w:val="left" w:pos="567"/>
          <w:tab w:val="left" w:pos="1701"/>
        </w:tabs>
        <w:ind w:left="1701" w:hanging="567"/>
        <w:jc w:val="both"/>
        <w:rPr>
          <w:lang w:val="en-GB"/>
        </w:rPr>
      </w:pPr>
      <w:r>
        <w:rPr>
          <w:lang w:val="en-GB"/>
        </w:rPr>
        <w:t>A well-governed and well-managed pension fund will be rewarded by good investment performance in the long term</w:t>
      </w:r>
    </w:p>
    <w:p w14:paraId="1B5BDFFC" w14:textId="77777777" w:rsidR="002E679E" w:rsidRDefault="002E679E" w:rsidP="004B5F6A">
      <w:pPr>
        <w:pStyle w:val="BodyTextIndent2"/>
        <w:numPr>
          <w:ilvl w:val="0"/>
          <w:numId w:val="17"/>
        </w:numPr>
        <w:tabs>
          <w:tab w:val="left" w:pos="567"/>
          <w:tab w:val="left" w:pos="1701"/>
        </w:tabs>
        <w:ind w:left="1701" w:hanging="567"/>
        <w:jc w:val="both"/>
        <w:rPr>
          <w:lang w:val="en-GB"/>
        </w:rPr>
      </w:pPr>
      <w:r>
        <w:rPr>
          <w:lang w:val="en-GB"/>
        </w:rPr>
        <w:lastRenderedPageBreak/>
        <w:t>Strategic asset allocation is the most significant factor in investment returns and risk; risk is only taken when the Fund believes a commensurate long term reward will be realised</w:t>
      </w:r>
    </w:p>
    <w:p w14:paraId="2EAC82DE" w14:textId="77777777" w:rsidR="002E679E" w:rsidRDefault="002E679E" w:rsidP="004B5F6A">
      <w:pPr>
        <w:pStyle w:val="BodyTextIndent2"/>
        <w:numPr>
          <w:ilvl w:val="0"/>
          <w:numId w:val="16"/>
        </w:numPr>
        <w:tabs>
          <w:tab w:val="left" w:pos="567"/>
          <w:tab w:val="left" w:pos="1701"/>
        </w:tabs>
        <w:ind w:left="1701" w:hanging="567"/>
        <w:jc w:val="both"/>
        <w:rPr>
          <w:lang w:val="en-GB"/>
        </w:rPr>
      </w:pPr>
      <w:r>
        <w:rPr>
          <w:lang w:val="en-GB"/>
        </w:rPr>
        <w:t>Asset allocation structure should be strongly influenced by the quantum and nature of the Fund’s liabilities and the Funding Strategy Statement</w:t>
      </w:r>
    </w:p>
    <w:p w14:paraId="2B253A98" w14:textId="77777777" w:rsidR="002E679E" w:rsidRDefault="002E679E" w:rsidP="004B5F6A">
      <w:pPr>
        <w:pStyle w:val="BodyTextIndent2"/>
        <w:numPr>
          <w:ilvl w:val="0"/>
          <w:numId w:val="16"/>
        </w:numPr>
        <w:tabs>
          <w:tab w:val="left" w:pos="567"/>
          <w:tab w:val="left" w:pos="709"/>
          <w:tab w:val="left" w:pos="1701"/>
        </w:tabs>
        <w:ind w:left="1701" w:hanging="567"/>
        <w:jc w:val="both"/>
        <w:rPr>
          <w:lang w:val="en-GB"/>
        </w:rPr>
      </w:pPr>
      <w:r>
        <w:rPr>
          <w:lang w:val="en-GB"/>
        </w:rPr>
        <w:t>Since the lifetime of the liabilities is very long</w:t>
      </w:r>
      <w:r w:rsidR="00387D43">
        <w:rPr>
          <w:lang w:val="en-GB"/>
        </w:rPr>
        <w:t>,</w:t>
      </w:r>
      <w:r>
        <w:rPr>
          <w:lang w:val="en-GB"/>
        </w:rPr>
        <w:t xml:space="preserve"> the time horizon of the investment strategy should be similarly long term</w:t>
      </w:r>
    </w:p>
    <w:p w14:paraId="4E4598AF" w14:textId="28C49EDC" w:rsidR="002E679E" w:rsidRDefault="002E679E" w:rsidP="004B5F6A">
      <w:pPr>
        <w:pStyle w:val="BodyTextIndent2"/>
        <w:numPr>
          <w:ilvl w:val="0"/>
          <w:numId w:val="16"/>
        </w:numPr>
        <w:tabs>
          <w:tab w:val="left" w:pos="567"/>
          <w:tab w:val="left" w:pos="1701"/>
        </w:tabs>
        <w:ind w:left="1701" w:hanging="567"/>
        <w:jc w:val="both"/>
        <w:rPr>
          <w:lang w:val="en-GB"/>
        </w:rPr>
      </w:pPr>
      <w:r>
        <w:rPr>
          <w:lang w:val="en-GB"/>
        </w:rPr>
        <w:t xml:space="preserve">Equities are likely to outperform most other asset classes in the long term and, in view of its current assets / liabilities structure, the Fund’s investments should </w:t>
      </w:r>
      <w:r w:rsidR="00C2139E">
        <w:rPr>
          <w:lang w:val="en-GB"/>
        </w:rPr>
        <w:t>maintain a significant allocation</w:t>
      </w:r>
      <w:r>
        <w:rPr>
          <w:lang w:val="en-GB"/>
        </w:rPr>
        <w:t xml:space="preserve"> towards this asset class</w:t>
      </w:r>
    </w:p>
    <w:p w14:paraId="5EFF45A4" w14:textId="77777777" w:rsidR="002E679E" w:rsidRDefault="002E679E" w:rsidP="004B5F6A">
      <w:pPr>
        <w:pStyle w:val="BodyTextIndent2"/>
        <w:numPr>
          <w:ilvl w:val="0"/>
          <w:numId w:val="16"/>
        </w:numPr>
        <w:tabs>
          <w:tab w:val="left" w:pos="567"/>
          <w:tab w:val="left" w:pos="1701"/>
        </w:tabs>
        <w:ind w:left="1701" w:hanging="567"/>
        <w:jc w:val="both"/>
        <w:rPr>
          <w:lang w:val="en-GB"/>
        </w:rPr>
      </w:pPr>
      <w:r>
        <w:rPr>
          <w:lang w:val="en-GB"/>
        </w:rPr>
        <w:t xml:space="preserve">Performance advantage is likely to be </w:t>
      </w:r>
      <w:r w:rsidR="00642235">
        <w:rPr>
          <w:lang w:val="en-GB"/>
        </w:rPr>
        <w:t>realised</w:t>
      </w:r>
      <w:r>
        <w:rPr>
          <w:lang w:val="en-GB"/>
        </w:rPr>
        <w:t xml:space="preserve"> from the successful </w:t>
      </w:r>
      <w:r w:rsidR="00620906">
        <w:rPr>
          <w:lang w:val="en-GB"/>
        </w:rPr>
        <w:t xml:space="preserve"> </w:t>
      </w:r>
      <w:r>
        <w:rPr>
          <w:lang w:val="en-GB"/>
        </w:rPr>
        <w:t>selection of active asset managers</w:t>
      </w:r>
    </w:p>
    <w:p w14:paraId="021F9D24" w14:textId="77777777" w:rsidR="002E679E" w:rsidRDefault="002E679E" w:rsidP="004B5F6A">
      <w:pPr>
        <w:pStyle w:val="BodyTextIndent2"/>
        <w:numPr>
          <w:ilvl w:val="0"/>
          <w:numId w:val="16"/>
        </w:numPr>
        <w:tabs>
          <w:tab w:val="left" w:pos="567"/>
          <w:tab w:val="left" w:pos="1701"/>
        </w:tabs>
        <w:ind w:left="1701" w:hanging="567"/>
        <w:jc w:val="both"/>
        <w:rPr>
          <w:lang w:val="en-GB"/>
        </w:rPr>
      </w:pPr>
      <w:r>
        <w:rPr>
          <w:lang w:val="en-GB"/>
        </w:rPr>
        <w:t>Risk of underperformance by active equity managers is mitigated by allocating a significant portion of the Fund’s assets to a passive equities manager and other asset classes</w:t>
      </w:r>
    </w:p>
    <w:p w14:paraId="11DC2B86" w14:textId="77777777" w:rsidR="002E679E" w:rsidRDefault="002E679E" w:rsidP="004B5F6A">
      <w:pPr>
        <w:pStyle w:val="BodyTextIndent2"/>
        <w:numPr>
          <w:ilvl w:val="0"/>
          <w:numId w:val="16"/>
        </w:numPr>
        <w:tabs>
          <w:tab w:val="left" w:pos="567"/>
          <w:tab w:val="left" w:pos="1701"/>
        </w:tabs>
        <w:ind w:left="1701" w:hanging="567"/>
        <w:jc w:val="both"/>
        <w:rPr>
          <w:lang w:val="en-GB"/>
        </w:rPr>
      </w:pPr>
      <w:r>
        <w:rPr>
          <w:lang w:val="en-GB"/>
        </w:rPr>
        <w:t xml:space="preserve">The impact of currency mismatches is mitigated by implementing a currency hedging strategy </w:t>
      </w:r>
    </w:p>
    <w:p w14:paraId="467E650F" w14:textId="1A0F21CF" w:rsidR="002E679E" w:rsidRPr="007655B1" w:rsidRDefault="002E679E" w:rsidP="004B5F6A">
      <w:pPr>
        <w:numPr>
          <w:ilvl w:val="0"/>
          <w:numId w:val="16"/>
        </w:numPr>
        <w:tabs>
          <w:tab w:val="left" w:pos="567"/>
          <w:tab w:val="left" w:pos="1701"/>
        </w:tabs>
        <w:ind w:left="1701" w:hanging="567"/>
        <w:jc w:val="both"/>
        <w:rPr>
          <w:rFonts w:ascii="Arial" w:hAnsi="Arial"/>
          <w:szCs w:val="24"/>
        </w:rPr>
      </w:pPr>
      <w:r>
        <w:rPr>
          <w:rFonts w:ascii="Arial" w:hAnsi="Arial"/>
          <w:szCs w:val="24"/>
        </w:rPr>
        <w:t>L</w:t>
      </w:r>
      <w:r w:rsidRPr="007655B1">
        <w:rPr>
          <w:rFonts w:ascii="Arial" w:hAnsi="Arial"/>
          <w:szCs w:val="24"/>
        </w:rPr>
        <w:t>ong-term financial performance of compan</w:t>
      </w:r>
      <w:r>
        <w:rPr>
          <w:rFonts w:ascii="Arial" w:hAnsi="Arial"/>
          <w:szCs w:val="24"/>
        </w:rPr>
        <w:t>ies in which the Fund invests</w:t>
      </w:r>
      <w:r w:rsidRPr="007655B1">
        <w:rPr>
          <w:rFonts w:ascii="Arial" w:hAnsi="Arial"/>
          <w:szCs w:val="24"/>
        </w:rPr>
        <w:t xml:space="preserve"> is likely to be enhanced if </w:t>
      </w:r>
      <w:r>
        <w:rPr>
          <w:rFonts w:ascii="Arial" w:hAnsi="Arial"/>
          <w:szCs w:val="24"/>
        </w:rPr>
        <w:t>they</w:t>
      </w:r>
      <w:r w:rsidRPr="007655B1">
        <w:rPr>
          <w:rFonts w:ascii="Arial" w:hAnsi="Arial"/>
          <w:szCs w:val="24"/>
        </w:rPr>
        <w:t xml:space="preserve"> follow good practice in </w:t>
      </w:r>
      <w:r>
        <w:rPr>
          <w:rFonts w:ascii="Arial" w:hAnsi="Arial"/>
          <w:szCs w:val="24"/>
        </w:rPr>
        <w:t>their</w:t>
      </w:r>
      <w:r w:rsidRPr="007655B1">
        <w:rPr>
          <w:rFonts w:ascii="Arial" w:hAnsi="Arial"/>
          <w:szCs w:val="24"/>
        </w:rPr>
        <w:t xml:space="preserve"> environmental, social and governance </w:t>
      </w:r>
      <w:r>
        <w:rPr>
          <w:rFonts w:ascii="Arial" w:hAnsi="Arial"/>
          <w:szCs w:val="24"/>
        </w:rPr>
        <w:t>policies</w:t>
      </w:r>
    </w:p>
    <w:p w14:paraId="79F7D5D3" w14:textId="77777777" w:rsidR="002E679E" w:rsidRPr="005A1CAB" w:rsidRDefault="002E679E" w:rsidP="004B5F6A">
      <w:pPr>
        <w:numPr>
          <w:ilvl w:val="0"/>
          <w:numId w:val="16"/>
        </w:numPr>
        <w:tabs>
          <w:tab w:val="left" w:pos="1701"/>
        </w:tabs>
        <w:ind w:firstLine="414"/>
        <w:jc w:val="both"/>
        <w:rPr>
          <w:rFonts w:ascii="Arial" w:hAnsi="Arial"/>
          <w:szCs w:val="24"/>
        </w:rPr>
      </w:pPr>
      <w:r>
        <w:rPr>
          <w:rFonts w:ascii="Arial" w:hAnsi="Arial"/>
          <w:szCs w:val="24"/>
        </w:rPr>
        <w:t xml:space="preserve">Costs need to be properly managed and transparent </w:t>
      </w:r>
    </w:p>
    <w:p w14:paraId="33D2F6A4" w14:textId="77777777" w:rsidR="002E679E" w:rsidRDefault="002E679E" w:rsidP="0058507E">
      <w:pPr>
        <w:pStyle w:val="Heading2"/>
        <w:ind w:left="360"/>
        <w:rPr>
          <w:rFonts w:ascii="Arial" w:hAnsi="Arial" w:cs="Arial"/>
          <w:sz w:val="28"/>
          <w:szCs w:val="28"/>
        </w:rPr>
      </w:pPr>
    </w:p>
    <w:p w14:paraId="3F4CB623" w14:textId="0041D4A2" w:rsidR="000E00C6" w:rsidRPr="00DB76CE" w:rsidRDefault="000E00C6" w:rsidP="00C41B9E">
      <w:pPr>
        <w:pStyle w:val="Heading2"/>
        <w:numPr>
          <w:ilvl w:val="0"/>
          <w:numId w:val="32"/>
        </w:numPr>
        <w:ind w:left="709" w:right="425" w:hanging="709"/>
        <w:rPr>
          <w:rFonts w:ascii="Arial" w:hAnsi="Arial" w:cs="Arial"/>
          <w:sz w:val="28"/>
          <w:szCs w:val="28"/>
        </w:rPr>
      </w:pPr>
      <w:r w:rsidRPr="00DB76CE">
        <w:rPr>
          <w:rFonts w:ascii="Arial" w:hAnsi="Arial" w:cs="Arial"/>
          <w:sz w:val="28"/>
          <w:szCs w:val="28"/>
        </w:rPr>
        <w:t xml:space="preserve">The </w:t>
      </w:r>
      <w:r w:rsidR="00392DBC" w:rsidRPr="00DB76CE">
        <w:rPr>
          <w:rFonts w:ascii="Arial" w:hAnsi="Arial" w:cs="Arial"/>
          <w:sz w:val="28"/>
          <w:szCs w:val="28"/>
        </w:rPr>
        <w:t>s</w:t>
      </w:r>
      <w:r w:rsidRPr="00DB76CE">
        <w:rPr>
          <w:rFonts w:ascii="Arial" w:hAnsi="Arial" w:cs="Arial"/>
          <w:sz w:val="28"/>
          <w:szCs w:val="28"/>
        </w:rPr>
        <w:t>uitability of particular investments and types of investments</w:t>
      </w:r>
    </w:p>
    <w:p w14:paraId="7CF43E45" w14:textId="77777777" w:rsidR="000B10B7" w:rsidRPr="00DB76CE" w:rsidRDefault="000B10B7" w:rsidP="000B10B7">
      <w:pPr>
        <w:rPr>
          <w:lang w:val="en-GB"/>
        </w:rPr>
      </w:pPr>
    </w:p>
    <w:p w14:paraId="4105C9F0" w14:textId="4773FB75" w:rsidR="007166A0" w:rsidRPr="001F4FE1" w:rsidRDefault="0011444C" w:rsidP="001F4FE1">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T</w:t>
      </w:r>
      <w:r w:rsidR="000B10B7" w:rsidRPr="001F4FE1">
        <w:rPr>
          <w:rFonts w:ascii="Arial" w:hAnsi="Arial" w:cs="Arial"/>
          <w:color w:val="000000"/>
          <w:szCs w:val="24"/>
          <w:lang w:val="en-GB" w:eastAsia="en-GB"/>
        </w:rPr>
        <w:t>he C</w:t>
      </w:r>
      <w:r w:rsidR="00392DBC" w:rsidRPr="001F4FE1">
        <w:rPr>
          <w:rFonts w:ascii="Arial" w:hAnsi="Arial" w:cs="Arial"/>
          <w:color w:val="000000"/>
          <w:szCs w:val="24"/>
          <w:lang w:val="en-GB" w:eastAsia="en-GB"/>
        </w:rPr>
        <w:t>ommittee</w:t>
      </w:r>
      <w:r w:rsidR="000B10B7" w:rsidRPr="001F4FE1">
        <w:rPr>
          <w:rFonts w:ascii="Arial" w:hAnsi="Arial" w:cs="Arial"/>
          <w:color w:val="000000"/>
          <w:szCs w:val="24"/>
          <w:lang w:val="en-GB" w:eastAsia="en-GB"/>
        </w:rPr>
        <w:t xml:space="preserve"> decides on the investment policies most suitable to meet the liabilities of the Fund and has ultimate responsibility for investment strategy. </w:t>
      </w:r>
    </w:p>
    <w:p w14:paraId="1620D32F" w14:textId="77777777" w:rsidR="00B013D5" w:rsidRPr="001F4FE1" w:rsidRDefault="00B013D5" w:rsidP="00BE3140">
      <w:pPr>
        <w:pStyle w:val="BodyTextIndent2"/>
        <w:tabs>
          <w:tab w:val="left" w:pos="567"/>
        </w:tabs>
        <w:ind w:left="709" w:hanging="709"/>
        <w:jc w:val="both"/>
        <w:rPr>
          <w:lang w:val="en-GB"/>
        </w:rPr>
      </w:pPr>
    </w:p>
    <w:p w14:paraId="04526122" w14:textId="00F86413" w:rsidR="00B013D5" w:rsidRPr="001F4FE1" w:rsidRDefault="00B013D5" w:rsidP="001F4FE1">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 xml:space="preserve">The Committee has translated its </w:t>
      </w:r>
      <w:r w:rsidR="00DD2E66" w:rsidRPr="001F4FE1">
        <w:rPr>
          <w:rFonts w:ascii="Arial" w:hAnsi="Arial" w:cs="Arial"/>
          <w:color w:val="000000"/>
          <w:szCs w:val="24"/>
          <w:lang w:val="en-GB" w:eastAsia="en-GB"/>
        </w:rPr>
        <w:t xml:space="preserve">investment </w:t>
      </w:r>
      <w:r w:rsidRPr="001F4FE1">
        <w:rPr>
          <w:rFonts w:ascii="Arial" w:hAnsi="Arial" w:cs="Arial"/>
          <w:color w:val="000000"/>
          <w:szCs w:val="24"/>
          <w:lang w:val="en-GB" w:eastAsia="en-GB"/>
        </w:rPr>
        <w:t xml:space="preserve">objective into a suitable strategic asset allocation benchmark for the Fund.  This benchmark is consistent with the Committee’s views on the appropriate balance between generating a satisfactory long-term return on investments whilst taking account of market volatility and risk and the nature of the Fund’s liabilities.  </w:t>
      </w:r>
    </w:p>
    <w:p w14:paraId="67650B86" w14:textId="77777777" w:rsidR="00DD2E66" w:rsidRPr="001F4FE1" w:rsidRDefault="00DD2E66" w:rsidP="001F4FE1">
      <w:pPr>
        <w:autoSpaceDE w:val="0"/>
        <w:autoSpaceDN w:val="0"/>
        <w:adjustRightInd w:val="0"/>
        <w:ind w:left="709"/>
        <w:jc w:val="both"/>
        <w:rPr>
          <w:rFonts w:ascii="Arial" w:hAnsi="Arial" w:cs="Arial"/>
          <w:color w:val="000000"/>
          <w:szCs w:val="24"/>
          <w:lang w:val="en-GB" w:eastAsia="en-GB"/>
        </w:rPr>
      </w:pPr>
    </w:p>
    <w:p w14:paraId="2A77FA09" w14:textId="1653E3D1" w:rsidR="00B013D5" w:rsidRPr="00BD1FFF" w:rsidRDefault="00DD2E66" w:rsidP="001F4FE1">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 xml:space="preserve">The approach seeks to ensure that the investment strategy takes due account of the maturity profile of the Fund (in terms of the relative proportions of liabilities in respect of pensioners, </w:t>
      </w:r>
      <w:r w:rsidRPr="00BD1FFF">
        <w:rPr>
          <w:rFonts w:ascii="Arial" w:hAnsi="Arial" w:cs="Arial"/>
          <w:color w:val="000000"/>
          <w:szCs w:val="24"/>
          <w:lang w:val="en-GB" w:eastAsia="en-GB"/>
        </w:rPr>
        <w:t>deferred and active members)</w:t>
      </w:r>
      <w:r w:rsidR="00C11E70" w:rsidRPr="00BD1FFF">
        <w:rPr>
          <w:rFonts w:ascii="Arial" w:hAnsi="Arial" w:cs="Arial"/>
          <w:color w:val="000000"/>
          <w:szCs w:val="24"/>
          <w:lang w:val="en-GB" w:eastAsia="en-GB"/>
        </w:rPr>
        <w:t xml:space="preserve"> and the liabilities arising therefrom</w:t>
      </w:r>
      <w:r w:rsidRPr="00BD1FFF">
        <w:rPr>
          <w:rFonts w:ascii="Arial" w:hAnsi="Arial" w:cs="Arial"/>
          <w:color w:val="000000"/>
          <w:szCs w:val="24"/>
          <w:lang w:val="en-GB" w:eastAsia="en-GB"/>
        </w:rPr>
        <w:t>, together with the level of disclosed surplus or deficit (relative to the funding bases used).</w:t>
      </w:r>
    </w:p>
    <w:p w14:paraId="57BFE364" w14:textId="77777777" w:rsidR="007166A0" w:rsidRPr="00BD1FFF" w:rsidRDefault="007166A0" w:rsidP="00642DC1">
      <w:pPr>
        <w:autoSpaceDE w:val="0"/>
        <w:autoSpaceDN w:val="0"/>
        <w:adjustRightInd w:val="0"/>
        <w:ind w:left="709"/>
        <w:jc w:val="both"/>
        <w:rPr>
          <w:color w:val="000000"/>
          <w:szCs w:val="24"/>
          <w:lang w:val="en-GB" w:eastAsia="en-GB"/>
        </w:rPr>
      </w:pPr>
    </w:p>
    <w:p w14:paraId="35512409" w14:textId="085B378D" w:rsidR="006C6CEF" w:rsidRPr="00642DC1" w:rsidRDefault="00BE3140" w:rsidP="006C6CEF">
      <w:pPr>
        <w:numPr>
          <w:ilvl w:val="1"/>
          <w:numId w:val="32"/>
        </w:numPr>
        <w:autoSpaceDE w:val="0"/>
        <w:autoSpaceDN w:val="0"/>
        <w:adjustRightInd w:val="0"/>
        <w:ind w:left="709" w:hanging="709"/>
        <w:rPr>
          <w:b/>
          <w:bCs/>
          <w:lang w:val="en-GB"/>
        </w:rPr>
      </w:pPr>
      <w:r w:rsidRPr="00BD1FFF">
        <w:rPr>
          <w:rFonts w:ascii="Arial" w:hAnsi="Arial" w:cs="Arial"/>
          <w:color w:val="000000"/>
          <w:szCs w:val="24"/>
          <w:lang w:val="en-GB" w:eastAsia="en-GB"/>
        </w:rPr>
        <w:tab/>
      </w:r>
      <w:r w:rsidR="007B3B15" w:rsidRPr="000027F1">
        <w:rPr>
          <w:rFonts w:ascii="Arial" w:hAnsi="Arial" w:cs="Arial"/>
          <w:color w:val="000000"/>
          <w:szCs w:val="24"/>
          <w:lang w:val="en-GB" w:eastAsia="en-GB"/>
        </w:rPr>
        <w:t>The Committee</w:t>
      </w:r>
      <w:r w:rsidR="00F60128" w:rsidRPr="000027F1">
        <w:rPr>
          <w:rFonts w:ascii="Arial" w:hAnsi="Arial" w:cs="Arial"/>
          <w:color w:val="000000"/>
          <w:szCs w:val="24"/>
          <w:lang w:val="en-GB" w:eastAsia="en-GB"/>
        </w:rPr>
        <w:t>, as advised by Aon</w:t>
      </w:r>
      <w:r w:rsidR="006C6CEF" w:rsidRPr="000027F1">
        <w:rPr>
          <w:rFonts w:ascii="Arial" w:hAnsi="Arial" w:cs="Arial"/>
          <w:color w:val="000000"/>
          <w:szCs w:val="24"/>
          <w:lang w:val="en-GB" w:eastAsia="en-GB"/>
        </w:rPr>
        <w:t xml:space="preserve"> i</w:t>
      </w:r>
      <w:r w:rsidR="00F60128" w:rsidRPr="000027F1">
        <w:rPr>
          <w:rFonts w:ascii="Arial" w:hAnsi="Arial" w:cs="Arial"/>
          <w:color w:val="000000"/>
          <w:szCs w:val="24"/>
          <w:lang w:val="en-GB" w:eastAsia="en-GB"/>
        </w:rPr>
        <w:t>n September 2020</w:t>
      </w:r>
      <w:r w:rsidR="006C6CEF" w:rsidRPr="00BD1FFF">
        <w:rPr>
          <w:rFonts w:ascii="Arial" w:hAnsi="Arial" w:cs="Arial"/>
          <w:color w:val="000000"/>
          <w:szCs w:val="24"/>
          <w:lang w:val="en-GB" w:eastAsia="en-GB"/>
        </w:rPr>
        <w:t>,</w:t>
      </w:r>
      <w:r w:rsidR="00F60128" w:rsidRPr="00BD1FFF">
        <w:rPr>
          <w:rFonts w:ascii="Arial" w:hAnsi="Arial" w:cs="Arial"/>
          <w:color w:val="000000"/>
          <w:szCs w:val="24"/>
          <w:lang w:val="en-GB" w:eastAsia="en-GB"/>
        </w:rPr>
        <w:t xml:space="preserve"> agreed with Aon’s recommendation that the Fund’s high-level allocation be split</w:t>
      </w:r>
      <w:r w:rsidR="00F60128" w:rsidRPr="00642DC1">
        <w:rPr>
          <w:rFonts w:ascii="Arial" w:hAnsi="Arial" w:cs="Arial"/>
          <w:color w:val="000000"/>
          <w:szCs w:val="24"/>
          <w:lang w:val="en-GB" w:eastAsia="en-GB"/>
        </w:rPr>
        <w:t xml:space="preserve"> into three ‘buckets’: Equities; Diversifying Return Assets; and Risk Control Assets. </w:t>
      </w:r>
      <w:r w:rsidR="006C6CEF">
        <w:rPr>
          <w:rFonts w:ascii="Arial" w:hAnsi="Arial" w:cs="Arial"/>
          <w:color w:val="000000"/>
          <w:szCs w:val="24"/>
          <w:lang w:val="en-GB" w:eastAsia="en-GB"/>
        </w:rPr>
        <w:t>T</w:t>
      </w:r>
      <w:r w:rsidR="006C6CEF" w:rsidRPr="00642DC1">
        <w:rPr>
          <w:rFonts w:ascii="Arial" w:hAnsi="Arial" w:cs="Arial"/>
          <w:color w:val="000000"/>
          <w:szCs w:val="24"/>
          <w:lang w:val="en-GB" w:eastAsia="en-GB"/>
        </w:rPr>
        <w:t xml:space="preserve">he rationale for </w:t>
      </w:r>
      <w:r w:rsidR="006C6CEF" w:rsidRPr="00642DC1">
        <w:rPr>
          <w:rFonts w:ascii="Arial" w:hAnsi="Arial" w:cs="Arial"/>
          <w:color w:val="000000"/>
          <w:szCs w:val="24"/>
          <w:lang w:val="en-GB" w:eastAsia="en-GB"/>
        </w:rPr>
        <w:lastRenderedPageBreak/>
        <w:t>the three ‘buckets’ is:</w:t>
      </w:r>
      <w:r w:rsidR="006C6CEF" w:rsidRPr="00642DC1">
        <w:rPr>
          <w:rFonts w:ascii="Arial" w:hAnsi="Arial" w:cs="Arial"/>
          <w:lang w:val="en-GB"/>
        </w:rPr>
        <w:br/>
      </w:r>
    </w:p>
    <w:p w14:paraId="04E04F6E" w14:textId="77777777" w:rsidR="006C6CEF" w:rsidRPr="00642DC1" w:rsidRDefault="006C6CEF" w:rsidP="006C6CEF">
      <w:pPr>
        <w:pStyle w:val="BodyTextIndent3"/>
        <w:numPr>
          <w:ilvl w:val="0"/>
          <w:numId w:val="35"/>
        </w:numPr>
        <w:jc w:val="both"/>
        <w:rPr>
          <w:b/>
          <w:bCs/>
          <w:lang w:val="en-GB"/>
        </w:rPr>
      </w:pPr>
      <w:r w:rsidRPr="001F4FE1">
        <w:rPr>
          <w:b/>
          <w:bCs/>
          <w:lang w:val="en-GB"/>
        </w:rPr>
        <w:t>Equities:</w:t>
      </w:r>
      <w:r w:rsidRPr="00642DC1">
        <w:rPr>
          <w:lang w:val="en-GB"/>
        </w:rPr>
        <w:t xml:space="preserve"> The main return driver in the Pension Fund's investment strategy;</w:t>
      </w:r>
    </w:p>
    <w:p w14:paraId="2C53E07D" w14:textId="77777777" w:rsidR="006C6CEF" w:rsidRPr="001F4FE1" w:rsidRDefault="006C6CEF" w:rsidP="006C6CEF">
      <w:pPr>
        <w:pStyle w:val="BodyTextIndent3"/>
        <w:ind w:left="1080" w:firstLine="0"/>
        <w:jc w:val="both"/>
        <w:rPr>
          <w:b/>
          <w:bCs/>
          <w:lang w:val="en-GB"/>
        </w:rPr>
      </w:pPr>
    </w:p>
    <w:p w14:paraId="28D7F7B9" w14:textId="77777777" w:rsidR="006C6CEF" w:rsidRPr="00642DC1" w:rsidRDefault="006C6CEF" w:rsidP="006C6CEF">
      <w:pPr>
        <w:pStyle w:val="BodyTextIndent3"/>
        <w:numPr>
          <w:ilvl w:val="0"/>
          <w:numId w:val="35"/>
        </w:numPr>
        <w:jc w:val="both"/>
        <w:rPr>
          <w:b/>
          <w:bCs/>
          <w:lang w:val="en-GB"/>
        </w:rPr>
      </w:pPr>
      <w:r w:rsidRPr="00642DC1">
        <w:rPr>
          <w:b/>
          <w:bCs/>
          <w:lang w:val="en-GB"/>
        </w:rPr>
        <w:t xml:space="preserve">Diversifying Return Assets: </w:t>
      </w:r>
      <w:r w:rsidRPr="00642DC1">
        <w:rPr>
          <w:lang w:val="en-GB"/>
        </w:rPr>
        <w:t>Assets whose role is to generate returns (similar to the role of Equities), but which provide additional diversification.</w:t>
      </w:r>
    </w:p>
    <w:p w14:paraId="004745A9" w14:textId="77777777" w:rsidR="006C6CEF" w:rsidRPr="001F4FE1" w:rsidRDefault="006C6CEF" w:rsidP="006C6CEF">
      <w:pPr>
        <w:pStyle w:val="BodyTextIndent3"/>
        <w:ind w:left="1080" w:firstLine="0"/>
        <w:jc w:val="both"/>
        <w:rPr>
          <w:b/>
          <w:bCs/>
          <w:lang w:val="en-GB"/>
        </w:rPr>
      </w:pPr>
    </w:p>
    <w:p w14:paraId="49480284" w14:textId="77777777" w:rsidR="006C6CEF" w:rsidRDefault="006C6CEF" w:rsidP="006C6CEF">
      <w:pPr>
        <w:pStyle w:val="BodyTextIndent3"/>
        <w:numPr>
          <w:ilvl w:val="0"/>
          <w:numId w:val="35"/>
        </w:numPr>
        <w:jc w:val="both"/>
        <w:rPr>
          <w:lang w:val="en-GB"/>
        </w:rPr>
      </w:pPr>
      <w:r w:rsidRPr="00642DC1">
        <w:rPr>
          <w:b/>
          <w:bCs/>
          <w:lang w:val="en-GB"/>
        </w:rPr>
        <w:t>Risk Control Assets:</w:t>
      </w:r>
      <w:r w:rsidRPr="001F4FE1">
        <w:rPr>
          <w:b/>
          <w:bCs/>
          <w:lang w:val="en-GB"/>
        </w:rPr>
        <w:t xml:space="preserve"> </w:t>
      </w:r>
      <w:r w:rsidRPr="00642DC1">
        <w:rPr>
          <w:lang w:val="en-GB"/>
        </w:rPr>
        <w:t>Assets which target a lower level of return than Equities, but with a</w:t>
      </w:r>
      <w:r w:rsidRPr="001F4FE1">
        <w:rPr>
          <w:lang w:val="en-GB"/>
        </w:rPr>
        <w:t xml:space="preserve"> </w:t>
      </w:r>
      <w:r w:rsidRPr="00642DC1">
        <w:rPr>
          <w:lang w:val="en-GB"/>
        </w:rPr>
        <w:t>lower level of risk. These assets typically have some links to the</w:t>
      </w:r>
      <w:r w:rsidRPr="001F4FE1">
        <w:rPr>
          <w:lang w:val="en-GB"/>
        </w:rPr>
        <w:t xml:space="preserve"> </w:t>
      </w:r>
      <w:r w:rsidRPr="00F007A1">
        <w:rPr>
          <w:lang w:val="en-GB"/>
        </w:rPr>
        <w:t>characteristics of the Pension Funds' pensions in payment (e.g. inflation) and the growth in pensions to be paid in the future.</w:t>
      </w:r>
    </w:p>
    <w:p w14:paraId="7DF94F2E" w14:textId="77777777" w:rsidR="006C6CEF" w:rsidRPr="000027F1" w:rsidRDefault="006C6CEF" w:rsidP="000027F1">
      <w:pPr>
        <w:tabs>
          <w:tab w:val="left" w:pos="142"/>
        </w:tabs>
        <w:autoSpaceDE w:val="0"/>
        <w:autoSpaceDN w:val="0"/>
        <w:adjustRightInd w:val="0"/>
        <w:jc w:val="both"/>
        <w:rPr>
          <w:lang w:val="en-GB"/>
        </w:rPr>
      </w:pPr>
    </w:p>
    <w:p w14:paraId="037C1910" w14:textId="2E6ED971" w:rsidR="00A368EA" w:rsidRPr="00642DC1" w:rsidRDefault="00F60128" w:rsidP="000027F1">
      <w:pPr>
        <w:tabs>
          <w:tab w:val="left" w:pos="142"/>
        </w:tabs>
        <w:autoSpaceDE w:val="0"/>
        <w:autoSpaceDN w:val="0"/>
        <w:adjustRightInd w:val="0"/>
        <w:jc w:val="both"/>
        <w:rPr>
          <w:lang w:val="en-GB"/>
        </w:rPr>
      </w:pPr>
      <w:r w:rsidRPr="00642DC1">
        <w:rPr>
          <w:rFonts w:ascii="Arial" w:hAnsi="Arial" w:cs="Arial"/>
          <w:color w:val="000000"/>
          <w:szCs w:val="24"/>
          <w:lang w:val="en-GB" w:eastAsia="en-GB"/>
        </w:rPr>
        <w:t>The resultant</w:t>
      </w:r>
      <w:r w:rsidR="007B3B15" w:rsidRPr="00642DC1">
        <w:rPr>
          <w:rFonts w:ascii="Arial" w:hAnsi="Arial" w:cs="Arial"/>
          <w:color w:val="000000"/>
          <w:szCs w:val="24"/>
          <w:lang w:val="en-GB" w:eastAsia="en-GB"/>
        </w:rPr>
        <w:t xml:space="preserve"> strategic asset allocation benchmark for the Fund </w:t>
      </w:r>
      <w:r w:rsidRPr="00642DC1">
        <w:rPr>
          <w:rFonts w:ascii="Arial" w:hAnsi="Arial" w:cs="Arial"/>
          <w:color w:val="000000"/>
          <w:szCs w:val="24"/>
          <w:lang w:val="en-GB" w:eastAsia="en-GB"/>
        </w:rPr>
        <w:t xml:space="preserve">is </w:t>
      </w:r>
      <w:r w:rsidR="007B3B15" w:rsidRPr="00642DC1">
        <w:rPr>
          <w:rFonts w:ascii="Arial" w:hAnsi="Arial" w:cs="Arial"/>
          <w:color w:val="000000"/>
          <w:szCs w:val="24"/>
          <w:lang w:val="en-GB" w:eastAsia="en-GB"/>
        </w:rPr>
        <w:t>detailed in the table below.</w:t>
      </w:r>
      <w:r w:rsidR="007B3B15" w:rsidRPr="00642DC1">
        <w:rPr>
          <w:rFonts w:ascii="Arial" w:hAnsi="Arial" w:cs="Arial"/>
          <w:szCs w:val="24"/>
        </w:rPr>
        <w:t xml:space="preserve"> </w:t>
      </w:r>
    </w:p>
    <w:p w14:paraId="7D1BF086" w14:textId="77777777" w:rsidR="00642DC1" w:rsidRDefault="00642DC1" w:rsidP="00642DC1">
      <w:pPr>
        <w:pStyle w:val="ListParagraph"/>
        <w:rPr>
          <w:lang w:val="en-GB"/>
        </w:rPr>
      </w:pPr>
    </w:p>
    <w:tbl>
      <w:tblPr>
        <w:tblW w:w="7938" w:type="dxa"/>
        <w:tblInd w:w="817" w:type="dxa"/>
        <w:tblLayout w:type="fixed"/>
        <w:tblLook w:val="04A0" w:firstRow="1" w:lastRow="0" w:firstColumn="1" w:lastColumn="0" w:noHBand="0" w:noVBand="1"/>
      </w:tblPr>
      <w:tblGrid>
        <w:gridCol w:w="2126"/>
        <w:gridCol w:w="2127"/>
        <w:gridCol w:w="1842"/>
        <w:gridCol w:w="1843"/>
      </w:tblGrid>
      <w:tr w:rsidR="003476B5" w:rsidRPr="00564521" w14:paraId="6D571CAC" w14:textId="77777777" w:rsidTr="00642DC1">
        <w:trPr>
          <w:trHeight w:val="615"/>
        </w:trPr>
        <w:tc>
          <w:tcPr>
            <w:tcW w:w="2126" w:type="dxa"/>
            <w:vMerge w:val="restart"/>
            <w:tcBorders>
              <w:top w:val="single" w:sz="8" w:space="0" w:color="auto"/>
              <w:left w:val="single" w:sz="8" w:space="0" w:color="auto"/>
              <w:right w:val="nil"/>
            </w:tcBorders>
            <w:shd w:val="clear" w:color="000000" w:fill="FFFFFF"/>
            <w:noWrap/>
            <w:vAlign w:val="center"/>
            <w:hideMark/>
          </w:tcPr>
          <w:p w14:paraId="4ADA39FA" w14:textId="77777777" w:rsidR="003476B5" w:rsidRPr="00564521" w:rsidRDefault="003476B5" w:rsidP="00564521">
            <w:pPr>
              <w:jc w:val="center"/>
              <w:rPr>
                <w:rFonts w:ascii="Arial" w:hAnsi="Arial" w:cs="Arial"/>
                <w:b/>
                <w:bCs/>
                <w:color w:val="000000"/>
                <w:sz w:val="22"/>
                <w:szCs w:val="22"/>
                <w:lang w:val="en-GB" w:eastAsia="en-GB"/>
              </w:rPr>
            </w:pPr>
            <w:r w:rsidRPr="00564521">
              <w:rPr>
                <w:rFonts w:ascii="Arial" w:hAnsi="Arial" w:cs="Arial"/>
                <w:b/>
                <w:bCs/>
                <w:color w:val="000000"/>
                <w:sz w:val="22"/>
                <w:szCs w:val="22"/>
                <w:lang w:val="en-GB" w:eastAsia="en-GB"/>
              </w:rPr>
              <w:t>ASSET CLASS</w:t>
            </w:r>
          </w:p>
        </w:tc>
        <w:tc>
          <w:tcPr>
            <w:tcW w:w="2127" w:type="dxa"/>
            <w:vMerge w:val="restart"/>
            <w:tcBorders>
              <w:top w:val="single" w:sz="8" w:space="0" w:color="auto"/>
              <w:left w:val="nil"/>
              <w:right w:val="nil"/>
            </w:tcBorders>
            <w:shd w:val="clear" w:color="000000" w:fill="FFFFFF"/>
            <w:vAlign w:val="center"/>
            <w:hideMark/>
          </w:tcPr>
          <w:p w14:paraId="30EF0A62" w14:textId="77777777" w:rsidR="003476B5" w:rsidRPr="00564521" w:rsidRDefault="003476B5" w:rsidP="00564521">
            <w:pPr>
              <w:jc w:val="center"/>
              <w:rPr>
                <w:rFonts w:ascii="Arial" w:hAnsi="Arial" w:cs="Arial"/>
                <w:b/>
                <w:bCs/>
                <w:color w:val="000000"/>
                <w:sz w:val="22"/>
                <w:szCs w:val="22"/>
                <w:lang w:val="en-GB" w:eastAsia="en-GB"/>
              </w:rPr>
            </w:pPr>
            <w:r w:rsidRPr="00564521">
              <w:rPr>
                <w:rFonts w:ascii="Arial" w:hAnsi="Arial" w:cs="Arial"/>
                <w:b/>
                <w:bCs/>
                <w:color w:val="000000"/>
                <w:sz w:val="22"/>
                <w:szCs w:val="22"/>
                <w:lang w:val="en-GB" w:eastAsia="en-GB"/>
              </w:rPr>
              <w:t>MANAGEMENT APPROACH</w:t>
            </w:r>
          </w:p>
        </w:tc>
        <w:tc>
          <w:tcPr>
            <w:tcW w:w="3685" w:type="dxa"/>
            <w:gridSpan w:val="2"/>
            <w:tcBorders>
              <w:top w:val="single" w:sz="8" w:space="0" w:color="auto"/>
              <w:left w:val="nil"/>
              <w:bottom w:val="single" w:sz="8" w:space="0" w:color="auto"/>
              <w:right w:val="single" w:sz="8" w:space="0" w:color="auto"/>
            </w:tcBorders>
            <w:shd w:val="clear" w:color="000000" w:fill="FFFFFF"/>
            <w:vAlign w:val="center"/>
            <w:hideMark/>
          </w:tcPr>
          <w:p w14:paraId="5D6E0DEB" w14:textId="1802F0E4" w:rsidR="003476B5" w:rsidRPr="00564521" w:rsidRDefault="003476B5" w:rsidP="00BC19F8">
            <w:pPr>
              <w:jc w:val="center"/>
              <w:rPr>
                <w:rFonts w:ascii="Arial" w:hAnsi="Arial" w:cs="Arial"/>
                <w:b/>
                <w:bCs/>
                <w:color w:val="000000"/>
                <w:sz w:val="22"/>
                <w:szCs w:val="22"/>
                <w:lang w:val="en-GB" w:eastAsia="en-GB"/>
              </w:rPr>
            </w:pPr>
            <w:r>
              <w:rPr>
                <w:rFonts w:ascii="Arial" w:hAnsi="Arial" w:cs="Arial"/>
                <w:b/>
                <w:bCs/>
                <w:color w:val="000000"/>
                <w:sz w:val="22"/>
                <w:szCs w:val="22"/>
                <w:lang w:val="en-GB" w:eastAsia="en-GB"/>
              </w:rPr>
              <w:t>Strategic</w:t>
            </w:r>
          </w:p>
        </w:tc>
      </w:tr>
      <w:tr w:rsidR="003476B5" w:rsidRPr="00564521" w14:paraId="7C8C70E1" w14:textId="77777777" w:rsidTr="00642DC1">
        <w:trPr>
          <w:trHeight w:val="615"/>
        </w:trPr>
        <w:tc>
          <w:tcPr>
            <w:tcW w:w="2126" w:type="dxa"/>
            <w:vMerge/>
            <w:tcBorders>
              <w:left w:val="single" w:sz="8" w:space="0" w:color="auto"/>
              <w:bottom w:val="single" w:sz="8" w:space="0" w:color="auto"/>
              <w:right w:val="nil"/>
            </w:tcBorders>
            <w:shd w:val="clear" w:color="000000" w:fill="FFFFFF"/>
            <w:noWrap/>
            <w:vAlign w:val="center"/>
          </w:tcPr>
          <w:p w14:paraId="41F3ECEB" w14:textId="77777777" w:rsidR="003476B5" w:rsidRPr="00564521" w:rsidRDefault="003476B5" w:rsidP="00564521">
            <w:pPr>
              <w:jc w:val="center"/>
              <w:rPr>
                <w:rFonts w:ascii="Arial" w:hAnsi="Arial" w:cs="Arial"/>
                <w:b/>
                <w:bCs/>
                <w:color w:val="000000"/>
                <w:sz w:val="22"/>
                <w:szCs w:val="22"/>
                <w:lang w:val="en-GB" w:eastAsia="en-GB"/>
              </w:rPr>
            </w:pPr>
          </w:p>
        </w:tc>
        <w:tc>
          <w:tcPr>
            <w:tcW w:w="2127" w:type="dxa"/>
            <w:vMerge/>
            <w:tcBorders>
              <w:left w:val="nil"/>
              <w:bottom w:val="single" w:sz="8" w:space="0" w:color="auto"/>
              <w:right w:val="nil"/>
            </w:tcBorders>
            <w:shd w:val="clear" w:color="000000" w:fill="FFFFFF"/>
            <w:vAlign w:val="center"/>
          </w:tcPr>
          <w:p w14:paraId="45D4C5B8" w14:textId="77777777" w:rsidR="003476B5" w:rsidRPr="00564521" w:rsidRDefault="003476B5" w:rsidP="00564521">
            <w:pPr>
              <w:jc w:val="center"/>
              <w:rPr>
                <w:rFonts w:ascii="Arial" w:hAnsi="Arial" w:cs="Arial"/>
                <w:b/>
                <w:bCs/>
                <w:color w:val="000000"/>
                <w:sz w:val="22"/>
                <w:szCs w:val="22"/>
                <w:lang w:val="en-GB" w:eastAsia="en-GB"/>
              </w:rPr>
            </w:pPr>
          </w:p>
        </w:tc>
        <w:tc>
          <w:tcPr>
            <w:tcW w:w="1842" w:type="dxa"/>
            <w:tcBorders>
              <w:top w:val="single" w:sz="8" w:space="0" w:color="auto"/>
              <w:left w:val="nil"/>
              <w:bottom w:val="single" w:sz="8" w:space="0" w:color="auto"/>
              <w:right w:val="nil"/>
            </w:tcBorders>
            <w:shd w:val="clear" w:color="000000" w:fill="FFFFFF"/>
            <w:vAlign w:val="center"/>
          </w:tcPr>
          <w:p w14:paraId="0EB1EF3A" w14:textId="77777777" w:rsidR="003476B5" w:rsidRPr="00564521" w:rsidRDefault="003476B5" w:rsidP="00564521">
            <w:pPr>
              <w:jc w:val="center"/>
              <w:rPr>
                <w:rFonts w:ascii="Arial" w:hAnsi="Arial" w:cs="Arial"/>
                <w:b/>
                <w:bCs/>
                <w:color w:val="000000"/>
                <w:sz w:val="22"/>
                <w:szCs w:val="22"/>
                <w:lang w:val="en-GB" w:eastAsia="en-GB"/>
              </w:rPr>
            </w:pPr>
            <w:r w:rsidRPr="00564521">
              <w:rPr>
                <w:rFonts w:ascii="Arial" w:hAnsi="Arial" w:cs="Arial"/>
                <w:b/>
                <w:bCs/>
                <w:color w:val="000000"/>
                <w:sz w:val="22"/>
                <w:szCs w:val="22"/>
                <w:lang w:val="en-GB" w:eastAsia="en-GB"/>
              </w:rPr>
              <w:t>ALLOCATION</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5B332D34" w14:textId="77777777" w:rsidR="003476B5" w:rsidRPr="00564521" w:rsidRDefault="003476B5" w:rsidP="00564521">
            <w:pPr>
              <w:jc w:val="center"/>
              <w:rPr>
                <w:rFonts w:ascii="Arial" w:hAnsi="Arial" w:cs="Arial"/>
                <w:b/>
                <w:bCs/>
                <w:color w:val="000000"/>
                <w:sz w:val="22"/>
                <w:szCs w:val="22"/>
                <w:lang w:val="en-GB" w:eastAsia="en-GB"/>
              </w:rPr>
            </w:pPr>
            <w:r w:rsidRPr="00564521">
              <w:rPr>
                <w:rFonts w:ascii="Arial" w:hAnsi="Arial" w:cs="Arial"/>
                <w:b/>
                <w:bCs/>
                <w:color w:val="000000"/>
                <w:sz w:val="22"/>
                <w:szCs w:val="22"/>
                <w:lang w:val="en-GB" w:eastAsia="en-GB"/>
              </w:rPr>
              <w:t>RANGE</w:t>
            </w:r>
          </w:p>
        </w:tc>
      </w:tr>
      <w:tr w:rsidR="003476B5" w:rsidRPr="00564521" w14:paraId="0B8575E5" w14:textId="77777777" w:rsidTr="00642DC1">
        <w:trPr>
          <w:trHeight w:val="360"/>
        </w:trPr>
        <w:tc>
          <w:tcPr>
            <w:tcW w:w="2126" w:type="dxa"/>
            <w:tcBorders>
              <w:top w:val="nil"/>
              <w:left w:val="single" w:sz="8" w:space="0" w:color="auto"/>
              <w:bottom w:val="nil"/>
              <w:right w:val="nil"/>
            </w:tcBorders>
            <w:shd w:val="clear" w:color="000000" w:fill="FFFFFF"/>
            <w:noWrap/>
            <w:vAlign w:val="center"/>
            <w:hideMark/>
          </w:tcPr>
          <w:p w14:paraId="32D3755B" w14:textId="77777777" w:rsidR="003476B5" w:rsidRPr="00564521" w:rsidRDefault="003476B5" w:rsidP="00564521">
            <w:pPr>
              <w:rPr>
                <w:rFonts w:ascii="Arial" w:hAnsi="Arial" w:cs="Arial"/>
                <w:b/>
                <w:bCs/>
                <w:color w:val="000000"/>
                <w:sz w:val="22"/>
                <w:szCs w:val="22"/>
                <w:lang w:val="en-GB" w:eastAsia="en-GB"/>
              </w:rPr>
            </w:pPr>
            <w:r w:rsidRPr="00564521">
              <w:rPr>
                <w:rFonts w:ascii="Arial" w:hAnsi="Arial" w:cs="Arial"/>
                <w:b/>
                <w:bCs/>
                <w:color w:val="000000"/>
                <w:sz w:val="22"/>
                <w:szCs w:val="22"/>
                <w:lang w:val="en-GB" w:eastAsia="en-GB"/>
              </w:rPr>
              <w:t> </w:t>
            </w:r>
          </w:p>
        </w:tc>
        <w:tc>
          <w:tcPr>
            <w:tcW w:w="2127" w:type="dxa"/>
            <w:tcBorders>
              <w:top w:val="nil"/>
              <w:left w:val="nil"/>
              <w:bottom w:val="nil"/>
              <w:right w:val="nil"/>
            </w:tcBorders>
            <w:shd w:val="clear" w:color="000000" w:fill="FFFFFF"/>
            <w:noWrap/>
            <w:vAlign w:val="center"/>
            <w:hideMark/>
          </w:tcPr>
          <w:p w14:paraId="7549E338" w14:textId="77777777" w:rsidR="003476B5" w:rsidRPr="00564521" w:rsidRDefault="003476B5" w:rsidP="00564521">
            <w:pPr>
              <w:rPr>
                <w:rFonts w:ascii="Arial" w:hAnsi="Arial" w:cs="Arial"/>
                <w:b/>
                <w:bCs/>
                <w:color w:val="000000"/>
                <w:szCs w:val="24"/>
                <w:lang w:val="en-GB" w:eastAsia="en-GB"/>
              </w:rPr>
            </w:pPr>
            <w:r w:rsidRPr="00564521">
              <w:rPr>
                <w:rFonts w:ascii="Arial" w:hAnsi="Arial" w:cs="Arial"/>
                <w:b/>
                <w:bCs/>
                <w:color w:val="000000"/>
                <w:szCs w:val="24"/>
                <w:lang w:val="en-GB" w:eastAsia="en-GB"/>
              </w:rPr>
              <w:t> </w:t>
            </w:r>
          </w:p>
        </w:tc>
        <w:tc>
          <w:tcPr>
            <w:tcW w:w="1842" w:type="dxa"/>
            <w:tcBorders>
              <w:top w:val="nil"/>
              <w:left w:val="nil"/>
              <w:bottom w:val="nil"/>
              <w:right w:val="nil"/>
            </w:tcBorders>
            <w:shd w:val="clear" w:color="000000" w:fill="FFFFFF"/>
            <w:noWrap/>
            <w:vAlign w:val="center"/>
            <w:hideMark/>
          </w:tcPr>
          <w:p w14:paraId="2E9EE045" w14:textId="77777777" w:rsidR="003476B5" w:rsidRPr="00564521" w:rsidRDefault="003476B5" w:rsidP="00564521">
            <w:pPr>
              <w:jc w:val="center"/>
              <w:rPr>
                <w:rFonts w:ascii="Arial" w:hAnsi="Arial" w:cs="Arial"/>
                <w:b/>
                <w:bCs/>
                <w:color w:val="000000"/>
                <w:sz w:val="22"/>
                <w:szCs w:val="22"/>
                <w:lang w:val="en-GB" w:eastAsia="en-GB"/>
              </w:rPr>
            </w:pPr>
            <w:r w:rsidRPr="00564521">
              <w:rPr>
                <w:rFonts w:ascii="Arial" w:hAnsi="Arial" w:cs="Arial"/>
                <w:b/>
                <w:bCs/>
                <w:color w:val="000000"/>
                <w:sz w:val="22"/>
                <w:szCs w:val="22"/>
                <w:lang w:val="en-GB" w:eastAsia="en-GB"/>
              </w:rPr>
              <w:t>%</w:t>
            </w:r>
          </w:p>
        </w:tc>
        <w:tc>
          <w:tcPr>
            <w:tcW w:w="1843" w:type="dxa"/>
            <w:tcBorders>
              <w:top w:val="nil"/>
              <w:left w:val="nil"/>
              <w:bottom w:val="nil"/>
              <w:right w:val="single" w:sz="8" w:space="0" w:color="auto"/>
            </w:tcBorders>
            <w:shd w:val="clear" w:color="000000" w:fill="FFFFFF"/>
            <w:noWrap/>
            <w:vAlign w:val="center"/>
            <w:hideMark/>
          </w:tcPr>
          <w:p w14:paraId="200E7389" w14:textId="77777777" w:rsidR="003476B5" w:rsidRPr="00564521" w:rsidRDefault="003476B5" w:rsidP="00564521">
            <w:pPr>
              <w:jc w:val="center"/>
              <w:rPr>
                <w:rFonts w:ascii="Arial" w:hAnsi="Arial" w:cs="Arial"/>
                <w:b/>
                <w:bCs/>
                <w:color w:val="000000"/>
                <w:sz w:val="22"/>
                <w:szCs w:val="22"/>
                <w:lang w:val="en-GB" w:eastAsia="en-GB"/>
              </w:rPr>
            </w:pPr>
            <w:r w:rsidRPr="00564521">
              <w:rPr>
                <w:rFonts w:ascii="Arial" w:hAnsi="Arial" w:cs="Arial"/>
                <w:b/>
                <w:bCs/>
                <w:color w:val="000000"/>
                <w:sz w:val="22"/>
                <w:szCs w:val="22"/>
                <w:lang w:val="en-GB" w:eastAsia="en-GB"/>
              </w:rPr>
              <w:t>%</w:t>
            </w:r>
          </w:p>
        </w:tc>
      </w:tr>
      <w:tr w:rsidR="003476B5" w:rsidRPr="00564521" w14:paraId="023FDBC7" w14:textId="77777777" w:rsidTr="00642DC1">
        <w:trPr>
          <w:trHeight w:val="375"/>
        </w:trPr>
        <w:tc>
          <w:tcPr>
            <w:tcW w:w="4253" w:type="dxa"/>
            <w:gridSpan w:val="2"/>
            <w:tcBorders>
              <w:top w:val="single" w:sz="8" w:space="0" w:color="auto"/>
              <w:left w:val="single" w:sz="8" w:space="0" w:color="auto"/>
              <w:bottom w:val="single" w:sz="8" w:space="0" w:color="auto"/>
              <w:right w:val="nil"/>
            </w:tcBorders>
            <w:shd w:val="clear" w:color="000000" w:fill="FFFFFF"/>
            <w:noWrap/>
            <w:vAlign w:val="center"/>
            <w:hideMark/>
          </w:tcPr>
          <w:p w14:paraId="785CFA52" w14:textId="4EDD9CE7" w:rsidR="003476B5" w:rsidRPr="00564521" w:rsidRDefault="003476B5" w:rsidP="00642DC1">
            <w:pPr>
              <w:rPr>
                <w:rFonts w:ascii="Arial" w:hAnsi="Arial" w:cs="Arial"/>
                <w:color w:val="000000"/>
                <w:sz w:val="20"/>
                <w:lang w:val="en-GB" w:eastAsia="en-GB"/>
              </w:rPr>
            </w:pPr>
            <w:r>
              <w:rPr>
                <w:rFonts w:ascii="Arial" w:hAnsi="Arial" w:cs="Arial"/>
                <w:b/>
                <w:bCs/>
                <w:color w:val="000000"/>
                <w:sz w:val="22"/>
                <w:szCs w:val="22"/>
                <w:lang w:val="en-GB" w:eastAsia="en-GB"/>
              </w:rPr>
              <w:t>Equity Bucket</w:t>
            </w:r>
            <w:r w:rsidRPr="00564521">
              <w:rPr>
                <w:rFonts w:ascii="Arial" w:hAnsi="Arial" w:cs="Arial"/>
                <w:b/>
                <w:bCs/>
                <w:color w:val="000000"/>
                <w:szCs w:val="24"/>
                <w:lang w:val="en-GB" w:eastAsia="en-GB"/>
              </w:rPr>
              <w:t> </w:t>
            </w:r>
          </w:p>
        </w:tc>
        <w:tc>
          <w:tcPr>
            <w:tcW w:w="1842" w:type="dxa"/>
            <w:tcBorders>
              <w:top w:val="single" w:sz="8" w:space="0" w:color="auto"/>
              <w:left w:val="nil"/>
              <w:bottom w:val="single" w:sz="8" w:space="0" w:color="auto"/>
              <w:right w:val="nil"/>
            </w:tcBorders>
            <w:shd w:val="clear" w:color="000000" w:fill="FFFFFF"/>
            <w:noWrap/>
            <w:vAlign w:val="center"/>
            <w:hideMark/>
          </w:tcPr>
          <w:p w14:paraId="21FC19E5" w14:textId="76A493F6" w:rsidR="003476B5" w:rsidRPr="00564521" w:rsidRDefault="003476B5">
            <w:pPr>
              <w:jc w:val="center"/>
              <w:rPr>
                <w:rFonts w:ascii="Arial" w:hAnsi="Arial" w:cs="Arial"/>
                <w:color w:val="000000"/>
                <w:sz w:val="20"/>
                <w:lang w:val="en-GB" w:eastAsia="en-GB"/>
              </w:rPr>
            </w:pPr>
            <w:r>
              <w:rPr>
                <w:rFonts w:ascii="Arial" w:hAnsi="Arial" w:cs="Arial"/>
                <w:b/>
                <w:bCs/>
                <w:color w:val="000000"/>
                <w:szCs w:val="24"/>
                <w:lang w:val="en-GB" w:eastAsia="en-GB"/>
              </w:rPr>
              <w:t>50.0</w:t>
            </w:r>
            <w:r w:rsidRPr="00564521">
              <w:rPr>
                <w:rFonts w:ascii="Arial" w:hAnsi="Arial" w:cs="Arial"/>
                <w:b/>
                <w:bCs/>
                <w:color w:val="000000"/>
                <w:szCs w:val="24"/>
                <w:lang w:val="en-GB" w:eastAsia="en-GB"/>
              </w:rPr>
              <w:t> </w:t>
            </w:r>
          </w:p>
        </w:tc>
        <w:tc>
          <w:tcPr>
            <w:tcW w:w="1843" w:type="dxa"/>
            <w:tcBorders>
              <w:top w:val="single" w:sz="8" w:space="0" w:color="auto"/>
              <w:left w:val="nil"/>
              <w:bottom w:val="single" w:sz="8" w:space="0" w:color="auto"/>
              <w:right w:val="single" w:sz="8" w:space="0" w:color="auto"/>
            </w:tcBorders>
            <w:shd w:val="clear" w:color="000000" w:fill="FFFFFF"/>
            <w:noWrap/>
            <w:vAlign w:val="center"/>
            <w:hideMark/>
          </w:tcPr>
          <w:p w14:paraId="5F7A34A4" w14:textId="169C76E4" w:rsidR="003476B5" w:rsidRPr="00564521" w:rsidRDefault="003476B5" w:rsidP="008E4307">
            <w:pPr>
              <w:jc w:val="center"/>
              <w:rPr>
                <w:rFonts w:ascii="Arial" w:hAnsi="Arial" w:cs="Arial"/>
                <w:color w:val="000000"/>
                <w:sz w:val="20"/>
                <w:lang w:val="en-GB" w:eastAsia="en-GB"/>
              </w:rPr>
            </w:pPr>
            <w:r w:rsidRPr="00564521">
              <w:rPr>
                <w:rFonts w:ascii="Arial" w:hAnsi="Arial" w:cs="Arial"/>
                <w:b/>
                <w:bCs/>
                <w:color w:val="000000"/>
                <w:sz w:val="22"/>
                <w:szCs w:val="22"/>
                <w:lang w:val="en-GB" w:eastAsia="en-GB"/>
              </w:rPr>
              <w:t> </w:t>
            </w:r>
            <w:r>
              <w:rPr>
                <w:rFonts w:ascii="Arial" w:hAnsi="Arial" w:cs="Arial"/>
                <w:b/>
                <w:bCs/>
                <w:color w:val="000000"/>
                <w:sz w:val="22"/>
                <w:szCs w:val="22"/>
                <w:lang w:val="en-GB" w:eastAsia="en-GB"/>
              </w:rPr>
              <w:t>45.0 - 55.0</w:t>
            </w:r>
          </w:p>
        </w:tc>
      </w:tr>
      <w:tr w:rsidR="003476B5" w:rsidRPr="00564521" w14:paraId="207DC958" w14:textId="77777777" w:rsidTr="00642DC1">
        <w:trPr>
          <w:trHeight w:val="360"/>
        </w:trPr>
        <w:tc>
          <w:tcPr>
            <w:tcW w:w="2126" w:type="dxa"/>
            <w:tcBorders>
              <w:top w:val="nil"/>
              <w:left w:val="single" w:sz="8" w:space="0" w:color="auto"/>
              <w:bottom w:val="nil"/>
              <w:right w:val="nil"/>
            </w:tcBorders>
            <w:shd w:val="clear" w:color="000000" w:fill="FFFFFF"/>
            <w:noWrap/>
            <w:vAlign w:val="center"/>
            <w:hideMark/>
          </w:tcPr>
          <w:p w14:paraId="66DF1D02" w14:textId="0B89B843" w:rsidR="003476B5" w:rsidRPr="00564521" w:rsidRDefault="003476B5" w:rsidP="008E4307">
            <w:pPr>
              <w:rPr>
                <w:rFonts w:ascii="Arial" w:hAnsi="Arial" w:cs="Arial"/>
                <w:color w:val="000000"/>
                <w:sz w:val="20"/>
                <w:lang w:val="en-GB" w:eastAsia="en-GB"/>
              </w:rPr>
            </w:pPr>
            <w:r w:rsidRPr="00564521">
              <w:rPr>
                <w:rFonts w:ascii="Arial" w:hAnsi="Arial" w:cs="Arial"/>
                <w:color w:val="000000"/>
                <w:sz w:val="20"/>
                <w:lang w:val="en-GB" w:eastAsia="en-GB"/>
              </w:rPr>
              <w:t>Global</w:t>
            </w:r>
          </w:p>
        </w:tc>
        <w:tc>
          <w:tcPr>
            <w:tcW w:w="2127" w:type="dxa"/>
            <w:tcBorders>
              <w:top w:val="nil"/>
              <w:left w:val="nil"/>
              <w:bottom w:val="nil"/>
              <w:right w:val="nil"/>
            </w:tcBorders>
            <w:shd w:val="clear" w:color="000000" w:fill="FFFFFF"/>
            <w:noWrap/>
            <w:vAlign w:val="center"/>
            <w:hideMark/>
          </w:tcPr>
          <w:p w14:paraId="1868CD04" w14:textId="3D6E94FE" w:rsidR="003476B5" w:rsidRPr="00564521" w:rsidRDefault="003476B5" w:rsidP="008E4307">
            <w:pPr>
              <w:jc w:val="center"/>
              <w:rPr>
                <w:rFonts w:ascii="Arial" w:hAnsi="Arial" w:cs="Arial"/>
                <w:color w:val="000000"/>
                <w:sz w:val="20"/>
                <w:lang w:val="en-GB" w:eastAsia="en-GB"/>
              </w:rPr>
            </w:pPr>
            <w:r w:rsidRPr="00564521">
              <w:rPr>
                <w:rFonts w:ascii="Arial" w:hAnsi="Arial" w:cs="Arial"/>
                <w:color w:val="000000"/>
                <w:sz w:val="20"/>
                <w:lang w:val="en-GB" w:eastAsia="en-GB"/>
              </w:rPr>
              <w:t>Passive</w:t>
            </w:r>
            <w:r>
              <w:rPr>
                <w:rFonts w:ascii="Arial" w:hAnsi="Arial" w:cs="Arial"/>
                <w:color w:val="000000"/>
                <w:sz w:val="20"/>
                <w:lang w:val="en-GB" w:eastAsia="en-GB"/>
              </w:rPr>
              <w:t>, Low Carbon</w:t>
            </w:r>
          </w:p>
        </w:tc>
        <w:tc>
          <w:tcPr>
            <w:tcW w:w="1842" w:type="dxa"/>
            <w:tcBorders>
              <w:top w:val="nil"/>
              <w:left w:val="nil"/>
              <w:bottom w:val="nil"/>
              <w:right w:val="nil"/>
            </w:tcBorders>
            <w:shd w:val="clear" w:color="000000" w:fill="FFFFFF"/>
            <w:noWrap/>
            <w:vAlign w:val="center"/>
            <w:hideMark/>
          </w:tcPr>
          <w:p w14:paraId="078DE388" w14:textId="4AC18A40" w:rsidR="003476B5" w:rsidRPr="00564521" w:rsidRDefault="003476B5">
            <w:pPr>
              <w:jc w:val="center"/>
              <w:rPr>
                <w:rFonts w:ascii="Arial" w:hAnsi="Arial" w:cs="Arial"/>
                <w:color w:val="000000"/>
                <w:sz w:val="20"/>
                <w:lang w:val="en-GB" w:eastAsia="en-GB"/>
              </w:rPr>
            </w:pPr>
            <w:r>
              <w:rPr>
                <w:rFonts w:ascii="Arial" w:hAnsi="Arial" w:cs="Arial"/>
                <w:color w:val="000000"/>
                <w:sz w:val="20"/>
                <w:lang w:val="en-GB" w:eastAsia="en-GB"/>
              </w:rPr>
              <w:t>24</w:t>
            </w:r>
            <w:r w:rsidRPr="00564521">
              <w:rPr>
                <w:rFonts w:ascii="Arial" w:hAnsi="Arial" w:cs="Arial"/>
                <w:color w:val="000000"/>
                <w:sz w:val="20"/>
                <w:lang w:val="en-GB" w:eastAsia="en-GB"/>
              </w:rPr>
              <w:t>.0</w:t>
            </w:r>
          </w:p>
        </w:tc>
        <w:tc>
          <w:tcPr>
            <w:tcW w:w="1843" w:type="dxa"/>
            <w:tcBorders>
              <w:top w:val="nil"/>
              <w:left w:val="nil"/>
              <w:bottom w:val="nil"/>
              <w:right w:val="single" w:sz="8" w:space="0" w:color="auto"/>
            </w:tcBorders>
            <w:shd w:val="clear" w:color="000000" w:fill="FFFFFF"/>
            <w:noWrap/>
            <w:vAlign w:val="center"/>
            <w:hideMark/>
          </w:tcPr>
          <w:p w14:paraId="695E7A0C" w14:textId="5656A605" w:rsidR="003476B5" w:rsidRPr="00564521" w:rsidRDefault="003476B5" w:rsidP="00642DC1">
            <w:pPr>
              <w:rPr>
                <w:rFonts w:ascii="Arial" w:hAnsi="Arial" w:cs="Arial"/>
                <w:color w:val="000000"/>
                <w:sz w:val="20"/>
                <w:lang w:val="en-GB" w:eastAsia="en-GB"/>
              </w:rPr>
            </w:pPr>
            <w:r w:rsidRPr="00564521">
              <w:rPr>
                <w:rFonts w:ascii="Arial" w:hAnsi="Arial" w:cs="Arial"/>
                <w:color w:val="000000"/>
                <w:sz w:val="20"/>
                <w:lang w:val="en-GB" w:eastAsia="en-GB"/>
              </w:rPr>
              <w:t> </w:t>
            </w:r>
          </w:p>
        </w:tc>
      </w:tr>
      <w:tr w:rsidR="003476B5" w:rsidRPr="00564521" w14:paraId="51BEA98B" w14:textId="77777777" w:rsidTr="00642DC1">
        <w:trPr>
          <w:trHeight w:val="360"/>
        </w:trPr>
        <w:tc>
          <w:tcPr>
            <w:tcW w:w="2126" w:type="dxa"/>
            <w:tcBorders>
              <w:top w:val="nil"/>
              <w:left w:val="single" w:sz="8" w:space="0" w:color="auto"/>
              <w:bottom w:val="nil"/>
              <w:right w:val="nil"/>
            </w:tcBorders>
            <w:shd w:val="clear" w:color="000000" w:fill="FFFFFF"/>
            <w:noWrap/>
            <w:vAlign w:val="center"/>
            <w:hideMark/>
          </w:tcPr>
          <w:p w14:paraId="14A1F6C2" w14:textId="552BEE2C" w:rsidR="003476B5" w:rsidRPr="00464454" w:rsidRDefault="003476B5" w:rsidP="008E4307">
            <w:pPr>
              <w:rPr>
                <w:rFonts w:ascii="Arial" w:hAnsi="Arial" w:cs="Arial"/>
                <w:color w:val="000000"/>
                <w:sz w:val="20"/>
                <w:lang w:val="en-GB" w:eastAsia="en-GB"/>
              </w:rPr>
            </w:pPr>
            <w:r w:rsidRPr="00464454">
              <w:rPr>
                <w:rFonts w:ascii="Arial" w:hAnsi="Arial" w:cs="Arial"/>
                <w:color w:val="000000"/>
                <w:sz w:val="20"/>
                <w:lang w:val="en-GB" w:eastAsia="en-GB"/>
              </w:rPr>
              <w:t>Global</w:t>
            </w:r>
          </w:p>
        </w:tc>
        <w:tc>
          <w:tcPr>
            <w:tcW w:w="2127" w:type="dxa"/>
            <w:tcBorders>
              <w:top w:val="nil"/>
              <w:left w:val="nil"/>
              <w:bottom w:val="nil"/>
              <w:right w:val="nil"/>
            </w:tcBorders>
            <w:shd w:val="clear" w:color="000000" w:fill="FFFFFF"/>
            <w:noWrap/>
            <w:vAlign w:val="center"/>
            <w:hideMark/>
          </w:tcPr>
          <w:p w14:paraId="24843663" w14:textId="115CFE74" w:rsidR="003476B5" w:rsidRPr="00464454" w:rsidRDefault="003476B5" w:rsidP="008E4307">
            <w:pPr>
              <w:jc w:val="center"/>
              <w:rPr>
                <w:rFonts w:ascii="Arial" w:hAnsi="Arial" w:cs="Arial"/>
                <w:color w:val="000000"/>
                <w:sz w:val="20"/>
                <w:lang w:val="en-GB" w:eastAsia="en-GB"/>
              </w:rPr>
            </w:pPr>
            <w:r w:rsidRPr="00464454">
              <w:rPr>
                <w:rFonts w:ascii="Arial" w:hAnsi="Arial" w:cs="Arial"/>
                <w:color w:val="000000"/>
                <w:sz w:val="20"/>
                <w:lang w:val="en-GB" w:eastAsia="en-GB"/>
              </w:rPr>
              <w:t>Active</w:t>
            </w:r>
          </w:p>
        </w:tc>
        <w:tc>
          <w:tcPr>
            <w:tcW w:w="1842" w:type="dxa"/>
            <w:tcBorders>
              <w:top w:val="nil"/>
              <w:left w:val="nil"/>
              <w:bottom w:val="nil"/>
              <w:right w:val="nil"/>
            </w:tcBorders>
            <w:shd w:val="clear" w:color="000000" w:fill="FFFFFF"/>
            <w:noWrap/>
            <w:vAlign w:val="center"/>
            <w:hideMark/>
          </w:tcPr>
          <w:p w14:paraId="7F27397F" w14:textId="0F6ADF00" w:rsidR="003476B5" w:rsidRPr="00464454" w:rsidRDefault="00382E22">
            <w:pPr>
              <w:jc w:val="center"/>
              <w:rPr>
                <w:rFonts w:ascii="Arial" w:hAnsi="Arial" w:cs="Arial"/>
                <w:color w:val="000000"/>
                <w:sz w:val="20"/>
                <w:lang w:val="en-GB" w:eastAsia="en-GB"/>
              </w:rPr>
            </w:pPr>
            <w:r w:rsidRPr="00464454">
              <w:rPr>
                <w:rFonts w:ascii="Arial" w:hAnsi="Arial" w:cs="Arial"/>
                <w:color w:val="000000"/>
                <w:sz w:val="20"/>
                <w:lang w:val="en-GB" w:eastAsia="en-GB"/>
              </w:rPr>
              <w:t>10.0</w:t>
            </w:r>
          </w:p>
        </w:tc>
        <w:tc>
          <w:tcPr>
            <w:tcW w:w="1843" w:type="dxa"/>
            <w:tcBorders>
              <w:top w:val="nil"/>
              <w:left w:val="nil"/>
              <w:bottom w:val="nil"/>
              <w:right w:val="single" w:sz="8" w:space="0" w:color="auto"/>
            </w:tcBorders>
            <w:shd w:val="clear" w:color="000000" w:fill="FFFFFF"/>
            <w:noWrap/>
            <w:vAlign w:val="center"/>
            <w:hideMark/>
          </w:tcPr>
          <w:p w14:paraId="1ED5AC8F" w14:textId="379A7445" w:rsidR="003476B5" w:rsidRPr="00464454" w:rsidRDefault="003476B5" w:rsidP="00642DC1">
            <w:pPr>
              <w:rPr>
                <w:rFonts w:ascii="Arial" w:hAnsi="Arial" w:cs="Arial"/>
                <w:color w:val="000000"/>
                <w:sz w:val="20"/>
                <w:lang w:val="en-GB" w:eastAsia="en-GB"/>
              </w:rPr>
            </w:pPr>
            <w:r w:rsidRPr="00464454">
              <w:rPr>
                <w:rFonts w:ascii="Arial" w:hAnsi="Arial" w:cs="Arial"/>
                <w:color w:val="000000"/>
                <w:sz w:val="20"/>
                <w:lang w:val="en-GB" w:eastAsia="en-GB"/>
              </w:rPr>
              <w:t> </w:t>
            </w:r>
          </w:p>
        </w:tc>
      </w:tr>
      <w:tr w:rsidR="003476B5" w:rsidRPr="00564521" w14:paraId="4C2E7F20" w14:textId="77777777" w:rsidTr="00642DC1">
        <w:trPr>
          <w:trHeight w:val="360"/>
        </w:trPr>
        <w:tc>
          <w:tcPr>
            <w:tcW w:w="2126" w:type="dxa"/>
            <w:tcBorders>
              <w:top w:val="nil"/>
              <w:left w:val="single" w:sz="8" w:space="0" w:color="auto"/>
              <w:bottom w:val="nil"/>
              <w:right w:val="nil"/>
            </w:tcBorders>
            <w:shd w:val="clear" w:color="000000" w:fill="FFFFFF"/>
            <w:noWrap/>
            <w:vAlign w:val="center"/>
          </w:tcPr>
          <w:p w14:paraId="517C81DB" w14:textId="2367BB89" w:rsidR="003476B5" w:rsidRPr="00464454" w:rsidRDefault="003476B5" w:rsidP="008E4307">
            <w:pPr>
              <w:rPr>
                <w:rFonts w:ascii="Arial" w:hAnsi="Arial" w:cs="Arial"/>
                <w:color w:val="000000"/>
                <w:sz w:val="20"/>
                <w:lang w:val="en-GB" w:eastAsia="en-GB"/>
              </w:rPr>
            </w:pPr>
            <w:r w:rsidRPr="00464454">
              <w:rPr>
                <w:rFonts w:ascii="Arial" w:hAnsi="Arial" w:cs="Arial"/>
                <w:color w:val="000000"/>
                <w:sz w:val="20"/>
                <w:lang w:val="en-GB" w:eastAsia="en-GB"/>
              </w:rPr>
              <w:t>Global</w:t>
            </w:r>
          </w:p>
        </w:tc>
        <w:tc>
          <w:tcPr>
            <w:tcW w:w="2127" w:type="dxa"/>
            <w:tcBorders>
              <w:top w:val="nil"/>
              <w:left w:val="nil"/>
              <w:bottom w:val="nil"/>
              <w:right w:val="nil"/>
            </w:tcBorders>
            <w:shd w:val="clear" w:color="000000" w:fill="FFFFFF"/>
            <w:noWrap/>
            <w:vAlign w:val="center"/>
          </w:tcPr>
          <w:p w14:paraId="308E8806" w14:textId="178AEFA1" w:rsidR="003476B5" w:rsidRPr="00464454" w:rsidRDefault="003476B5" w:rsidP="008E4307">
            <w:pPr>
              <w:jc w:val="center"/>
              <w:rPr>
                <w:rFonts w:ascii="Arial" w:hAnsi="Arial" w:cs="Arial"/>
                <w:color w:val="000000"/>
                <w:sz w:val="20"/>
                <w:lang w:val="en-GB" w:eastAsia="en-GB"/>
              </w:rPr>
            </w:pPr>
            <w:r w:rsidRPr="00464454">
              <w:rPr>
                <w:rFonts w:ascii="Arial" w:hAnsi="Arial" w:cs="Arial"/>
                <w:color w:val="000000"/>
                <w:sz w:val="20"/>
                <w:lang w:val="en-GB" w:eastAsia="en-GB"/>
              </w:rPr>
              <w:t>Active, Sustainable</w:t>
            </w:r>
          </w:p>
        </w:tc>
        <w:tc>
          <w:tcPr>
            <w:tcW w:w="1842" w:type="dxa"/>
            <w:tcBorders>
              <w:top w:val="nil"/>
              <w:left w:val="nil"/>
              <w:bottom w:val="nil"/>
              <w:right w:val="nil"/>
            </w:tcBorders>
            <w:shd w:val="clear" w:color="000000" w:fill="FFFFFF"/>
            <w:noWrap/>
            <w:vAlign w:val="center"/>
          </w:tcPr>
          <w:p w14:paraId="6705235F" w14:textId="0E4440E8" w:rsidR="003476B5" w:rsidRPr="00464454" w:rsidRDefault="003476B5">
            <w:pPr>
              <w:jc w:val="center"/>
              <w:rPr>
                <w:rFonts w:ascii="Arial" w:hAnsi="Arial" w:cs="Arial"/>
                <w:color w:val="000000"/>
                <w:sz w:val="20"/>
                <w:lang w:val="en-GB" w:eastAsia="en-GB"/>
              </w:rPr>
            </w:pPr>
            <w:r w:rsidRPr="00464454">
              <w:rPr>
                <w:rFonts w:ascii="Arial" w:hAnsi="Arial" w:cs="Arial"/>
                <w:color w:val="000000"/>
                <w:sz w:val="20"/>
                <w:lang w:val="en-GB" w:eastAsia="en-GB"/>
              </w:rPr>
              <w:t>8.0</w:t>
            </w:r>
          </w:p>
        </w:tc>
        <w:tc>
          <w:tcPr>
            <w:tcW w:w="1843" w:type="dxa"/>
            <w:tcBorders>
              <w:top w:val="nil"/>
              <w:left w:val="nil"/>
              <w:bottom w:val="nil"/>
              <w:right w:val="single" w:sz="8" w:space="0" w:color="auto"/>
            </w:tcBorders>
            <w:shd w:val="clear" w:color="000000" w:fill="FFFFFF"/>
            <w:noWrap/>
            <w:vAlign w:val="center"/>
          </w:tcPr>
          <w:p w14:paraId="4B2AE182" w14:textId="77777777" w:rsidR="003476B5" w:rsidRPr="00464454" w:rsidRDefault="003476B5" w:rsidP="00642DC1">
            <w:pPr>
              <w:rPr>
                <w:rFonts w:ascii="Arial" w:hAnsi="Arial" w:cs="Arial"/>
                <w:color w:val="000000"/>
                <w:sz w:val="20"/>
                <w:lang w:val="en-GB" w:eastAsia="en-GB"/>
              </w:rPr>
            </w:pPr>
          </w:p>
        </w:tc>
      </w:tr>
      <w:tr w:rsidR="003476B5" w:rsidRPr="00564521" w14:paraId="01F5A691" w14:textId="77777777" w:rsidTr="00642DC1">
        <w:trPr>
          <w:trHeight w:val="360"/>
        </w:trPr>
        <w:tc>
          <w:tcPr>
            <w:tcW w:w="2126" w:type="dxa"/>
            <w:tcBorders>
              <w:top w:val="nil"/>
              <w:left w:val="single" w:sz="8" w:space="0" w:color="auto"/>
              <w:bottom w:val="nil"/>
              <w:right w:val="nil"/>
            </w:tcBorders>
            <w:shd w:val="clear" w:color="000000" w:fill="FFFFFF"/>
            <w:noWrap/>
            <w:vAlign w:val="center"/>
            <w:hideMark/>
          </w:tcPr>
          <w:p w14:paraId="1A7B22C6" w14:textId="3B6B4386" w:rsidR="003476B5" w:rsidRPr="00464454" w:rsidRDefault="003476B5" w:rsidP="008E4307">
            <w:pPr>
              <w:rPr>
                <w:rFonts w:ascii="Arial" w:hAnsi="Arial" w:cs="Arial"/>
                <w:color w:val="000000"/>
                <w:sz w:val="20"/>
                <w:lang w:val="en-GB" w:eastAsia="en-GB"/>
              </w:rPr>
            </w:pPr>
            <w:r w:rsidRPr="00464454">
              <w:rPr>
                <w:rFonts w:ascii="Arial" w:hAnsi="Arial" w:cs="Arial"/>
                <w:color w:val="000000"/>
                <w:sz w:val="20"/>
                <w:lang w:val="en-GB" w:eastAsia="en-GB"/>
              </w:rPr>
              <w:t>Emerging Markets</w:t>
            </w:r>
          </w:p>
        </w:tc>
        <w:tc>
          <w:tcPr>
            <w:tcW w:w="2127" w:type="dxa"/>
            <w:tcBorders>
              <w:top w:val="nil"/>
              <w:left w:val="nil"/>
              <w:bottom w:val="nil"/>
              <w:right w:val="nil"/>
            </w:tcBorders>
            <w:shd w:val="clear" w:color="000000" w:fill="FFFFFF"/>
            <w:noWrap/>
            <w:vAlign w:val="center"/>
            <w:hideMark/>
          </w:tcPr>
          <w:p w14:paraId="00F1C147" w14:textId="1D0A37F6" w:rsidR="003476B5" w:rsidRPr="00464454" w:rsidRDefault="003476B5" w:rsidP="008E4307">
            <w:pPr>
              <w:jc w:val="center"/>
              <w:rPr>
                <w:rFonts w:ascii="Arial" w:hAnsi="Arial" w:cs="Arial"/>
                <w:color w:val="000000"/>
                <w:sz w:val="20"/>
                <w:lang w:val="en-GB" w:eastAsia="en-GB"/>
              </w:rPr>
            </w:pPr>
            <w:r w:rsidRPr="00464454">
              <w:rPr>
                <w:rFonts w:ascii="Arial" w:hAnsi="Arial" w:cs="Arial"/>
                <w:color w:val="000000"/>
                <w:sz w:val="20"/>
                <w:lang w:val="en-GB" w:eastAsia="en-GB"/>
              </w:rPr>
              <w:t>Active</w:t>
            </w:r>
          </w:p>
        </w:tc>
        <w:tc>
          <w:tcPr>
            <w:tcW w:w="1842" w:type="dxa"/>
            <w:tcBorders>
              <w:top w:val="nil"/>
              <w:left w:val="nil"/>
              <w:bottom w:val="nil"/>
              <w:right w:val="nil"/>
            </w:tcBorders>
            <w:shd w:val="clear" w:color="000000" w:fill="FFFFFF"/>
            <w:noWrap/>
            <w:vAlign w:val="center"/>
            <w:hideMark/>
          </w:tcPr>
          <w:p w14:paraId="55906EDF" w14:textId="2C118866" w:rsidR="003476B5" w:rsidRPr="00464454" w:rsidRDefault="003476B5">
            <w:pPr>
              <w:jc w:val="center"/>
              <w:rPr>
                <w:rFonts w:ascii="Arial" w:hAnsi="Arial" w:cs="Arial"/>
                <w:color w:val="000000"/>
                <w:sz w:val="20"/>
                <w:lang w:val="en-GB" w:eastAsia="en-GB"/>
              </w:rPr>
            </w:pPr>
            <w:r w:rsidRPr="00464454">
              <w:rPr>
                <w:rFonts w:ascii="Arial" w:hAnsi="Arial" w:cs="Arial"/>
                <w:color w:val="000000"/>
                <w:sz w:val="20"/>
                <w:lang w:val="en-GB" w:eastAsia="en-GB"/>
              </w:rPr>
              <w:t>8.0</w:t>
            </w:r>
          </w:p>
        </w:tc>
        <w:tc>
          <w:tcPr>
            <w:tcW w:w="1843" w:type="dxa"/>
            <w:tcBorders>
              <w:top w:val="nil"/>
              <w:left w:val="nil"/>
              <w:bottom w:val="nil"/>
              <w:right w:val="single" w:sz="8" w:space="0" w:color="auto"/>
            </w:tcBorders>
            <w:shd w:val="clear" w:color="000000" w:fill="FFFFFF"/>
            <w:noWrap/>
            <w:vAlign w:val="center"/>
            <w:hideMark/>
          </w:tcPr>
          <w:p w14:paraId="20FA560E" w14:textId="37AA7517" w:rsidR="003476B5" w:rsidRPr="00464454" w:rsidRDefault="003476B5" w:rsidP="00642DC1">
            <w:pPr>
              <w:rPr>
                <w:rFonts w:ascii="Arial" w:hAnsi="Arial" w:cs="Arial"/>
                <w:color w:val="000000"/>
                <w:sz w:val="20"/>
                <w:lang w:val="en-GB" w:eastAsia="en-GB"/>
              </w:rPr>
            </w:pPr>
          </w:p>
        </w:tc>
      </w:tr>
      <w:tr w:rsidR="003476B5" w:rsidRPr="00564521" w14:paraId="673E7D87" w14:textId="77777777" w:rsidTr="00642DC1">
        <w:trPr>
          <w:trHeight w:val="300"/>
        </w:trPr>
        <w:tc>
          <w:tcPr>
            <w:tcW w:w="4253" w:type="dxa"/>
            <w:gridSpan w:val="2"/>
            <w:tcBorders>
              <w:top w:val="single" w:sz="8" w:space="0" w:color="auto"/>
              <w:left w:val="single" w:sz="8" w:space="0" w:color="auto"/>
              <w:bottom w:val="single" w:sz="8" w:space="0" w:color="auto"/>
              <w:right w:val="nil"/>
            </w:tcBorders>
            <w:shd w:val="clear" w:color="000000" w:fill="FFFFFF"/>
            <w:noWrap/>
            <w:vAlign w:val="center"/>
            <w:hideMark/>
          </w:tcPr>
          <w:p w14:paraId="07610280" w14:textId="2004AF12" w:rsidR="003476B5" w:rsidRPr="00464454" w:rsidRDefault="003476B5" w:rsidP="00642DC1">
            <w:pPr>
              <w:rPr>
                <w:rFonts w:ascii="Arial" w:hAnsi="Arial" w:cs="Arial"/>
                <w:b/>
                <w:bCs/>
                <w:color w:val="000000"/>
                <w:sz w:val="22"/>
                <w:szCs w:val="22"/>
                <w:lang w:val="en-GB" w:eastAsia="en-GB"/>
              </w:rPr>
            </w:pPr>
            <w:r w:rsidRPr="00464454">
              <w:rPr>
                <w:rFonts w:ascii="Arial" w:hAnsi="Arial" w:cs="Arial"/>
                <w:b/>
                <w:bCs/>
                <w:color w:val="000000"/>
                <w:sz w:val="22"/>
                <w:szCs w:val="22"/>
                <w:lang w:val="en-GB" w:eastAsia="en-GB"/>
              </w:rPr>
              <w:t>Diversifying Returns Bucket</w:t>
            </w:r>
          </w:p>
        </w:tc>
        <w:tc>
          <w:tcPr>
            <w:tcW w:w="1842" w:type="dxa"/>
            <w:tcBorders>
              <w:top w:val="single" w:sz="8" w:space="0" w:color="auto"/>
              <w:left w:val="nil"/>
              <w:bottom w:val="single" w:sz="8" w:space="0" w:color="auto"/>
              <w:right w:val="nil"/>
            </w:tcBorders>
            <w:shd w:val="clear" w:color="000000" w:fill="FFFFFF"/>
            <w:noWrap/>
            <w:vAlign w:val="center"/>
            <w:hideMark/>
          </w:tcPr>
          <w:p w14:paraId="2FA99263" w14:textId="6EBD0646" w:rsidR="003476B5" w:rsidRPr="00464454" w:rsidRDefault="003476B5">
            <w:pPr>
              <w:jc w:val="center"/>
              <w:rPr>
                <w:rFonts w:ascii="Arial" w:hAnsi="Arial" w:cs="Arial"/>
                <w:b/>
                <w:bCs/>
                <w:color w:val="000000"/>
                <w:sz w:val="22"/>
                <w:szCs w:val="22"/>
                <w:lang w:val="en-GB" w:eastAsia="en-GB"/>
              </w:rPr>
            </w:pPr>
            <w:r w:rsidRPr="00464454">
              <w:rPr>
                <w:rFonts w:ascii="Arial" w:hAnsi="Arial" w:cs="Arial"/>
                <w:b/>
                <w:bCs/>
                <w:color w:val="000000"/>
                <w:sz w:val="22"/>
                <w:szCs w:val="22"/>
                <w:lang w:val="en-GB" w:eastAsia="en-GB"/>
              </w:rPr>
              <w:t>25.0</w:t>
            </w:r>
          </w:p>
        </w:tc>
        <w:tc>
          <w:tcPr>
            <w:tcW w:w="1843" w:type="dxa"/>
            <w:tcBorders>
              <w:top w:val="single" w:sz="8" w:space="0" w:color="auto"/>
              <w:left w:val="nil"/>
              <w:bottom w:val="single" w:sz="8" w:space="0" w:color="auto"/>
              <w:right w:val="single" w:sz="8" w:space="0" w:color="auto"/>
            </w:tcBorders>
            <w:shd w:val="clear" w:color="000000" w:fill="FFFFFF"/>
            <w:noWrap/>
            <w:vAlign w:val="center"/>
            <w:hideMark/>
          </w:tcPr>
          <w:p w14:paraId="1761A80C" w14:textId="64A6A93B" w:rsidR="003476B5" w:rsidRPr="00464454" w:rsidRDefault="003476B5" w:rsidP="008E4307">
            <w:pPr>
              <w:jc w:val="center"/>
              <w:rPr>
                <w:rFonts w:ascii="Arial" w:hAnsi="Arial" w:cs="Arial"/>
                <w:b/>
                <w:bCs/>
                <w:color w:val="000000"/>
                <w:sz w:val="22"/>
                <w:szCs w:val="22"/>
                <w:lang w:val="en-GB" w:eastAsia="en-GB"/>
              </w:rPr>
            </w:pPr>
            <w:r w:rsidRPr="00464454">
              <w:rPr>
                <w:rFonts w:ascii="Arial" w:hAnsi="Arial" w:cs="Arial"/>
                <w:b/>
                <w:bCs/>
                <w:color w:val="000000"/>
                <w:sz w:val="22"/>
                <w:szCs w:val="22"/>
                <w:lang w:val="en-GB" w:eastAsia="en-GB"/>
              </w:rPr>
              <w:t>20.0 - 30.0</w:t>
            </w:r>
          </w:p>
        </w:tc>
      </w:tr>
      <w:tr w:rsidR="003476B5" w:rsidRPr="00564521" w14:paraId="13E3B0E6" w14:textId="77777777" w:rsidTr="00642DC1">
        <w:trPr>
          <w:trHeight w:val="285"/>
        </w:trPr>
        <w:tc>
          <w:tcPr>
            <w:tcW w:w="2126" w:type="dxa"/>
            <w:tcBorders>
              <w:top w:val="nil"/>
              <w:left w:val="single" w:sz="8" w:space="0" w:color="auto"/>
              <w:bottom w:val="nil"/>
              <w:right w:val="nil"/>
            </w:tcBorders>
            <w:shd w:val="clear" w:color="000000" w:fill="FFFFFF"/>
            <w:noWrap/>
            <w:vAlign w:val="center"/>
            <w:hideMark/>
          </w:tcPr>
          <w:p w14:paraId="63628C91" w14:textId="68B73BBC" w:rsidR="003476B5" w:rsidRPr="00464454" w:rsidRDefault="003476B5" w:rsidP="008E4307">
            <w:pPr>
              <w:rPr>
                <w:rFonts w:ascii="Arial" w:hAnsi="Arial" w:cs="Arial"/>
                <w:color w:val="000000"/>
                <w:sz w:val="20"/>
                <w:lang w:val="en-GB" w:eastAsia="en-GB"/>
              </w:rPr>
            </w:pPr>
            <w:r w:rsidRPr="00464454">
              <w:rPr>
                <w:rFonts w:ascii="Arial" w:hAnsi="Arial" w:cs="Arial"/>
                <w:color w:val="000000"/>
                <w:sz w:val="20"/>
                <w:lang w:val="en-GB" w:eastAsia="en-GB"/>
              </w:rPr>
              <w:t>Property</w:t>
            </w:r>
          </w:p>
        </w:tc>
        <w:tc>
          <w:tcPr>
            <w:tcW w:w="2127" w:type="dxa"/>
            <w:tcBorders>
              <w:top w:val="nil"/>
              <w:left w:val="nil"/>
              <w:bottom w:val="nil"/>
              <w:right w:val="nil"/>
            </w:tcBorders>
            <w:shd w:val="clear" w:color="000000" w:fill="FFFFFF"/>
            <w:noWrap/>
            <w:vAlign w:val="center"/>
            <w:hideMark/>
          </w:tcPr>
          <w:p w14:paraId="56B77F6D" w14:textId="587B8C70" w:rsidR="003476B5" w:rsidRPr="00464454" w:rsidRDefault="003476B5" w:rsidP="008E4307">
            <w:pPr>
              <w:jc w:val="center"/>
              <w:rPr>
                <w:rFonts w:ascii="Arial" w:hAnsi="Arial" w:cs="Arial"/>
                <w:color w:val="000000"/>
                <w:sz w:val="20"/>
                <w:lang w:val="en-GB" w:eastAsia="en-GB"/>
              </w:rPr>
            </w:pPr>
            <w:r w:rsidRPr="00464454">
              <w:rPr>
                <w:rFonts w:ascii="Arial" w:hAnsi="Arial" w:cs="Arial"/>
                <w:color w:val="000000"/>
                <w:sz w:val="20"/>
                <w:lang w:val="en-GB" w:eastAsia="en-GB"/>
              </w:rPr>
              <w:t>Active</w:t>
            </w:r>
          </w:p>
        </w:tc>
        <w:tc>
          <w:tcPr>
            <w:tcW w:w="1842" w:type="dxa"/>
            <w:tcBorders>
              <w:top w:val="nil"/>
              <w:left w:val="nil"/>
              <w:bottom w:val="nil"/>
              <w:right w:val="nil"/>
            </w:tcBorders>
            <w:shd w:val="clear" w:color="000000" w:fill="FFFFFF"/>
            <w:noWrap/>
            <w:vAlign w:val="center"/>
            <w:hideMark/>
          </w:tcPr>
          <w:p w14:paraId="58A04FE3" w14:textId="0F7B8D35" w:rsidR="003476B5" w:rsidRPr="00464454" w:rsidRDefault="003D37C0">
            <w:pPr>
              <w:jc w:val="center"/>
              <w:rPr>
                <w:rFonts w:ascii="Arial" w:hAnsi="Arial" w:cs="Arial"/>
                <w:color w:val="000000"/>
                <w:sz w:val="20"/>
                <w:lang w:val="en-GB" w:eastAsia="en-GB"/>
              </w:rPr>
            </w:pPr>
            <w:r w:rsidRPr="000027F1">
              <w:rPr>
                <w:rFonts w:ascii="Arial" w:hAnsi="Arial" w:cs="Arial"/>
                <w:color w:val="000000"/>
                <w:sz w:val="20"/>
                <w:lang w:val="en-GB" w:eastAsia="en-GB"/>
              </w:rPr>
              <w:t>6</w:t>
            </w:r>
            <w:r w:rsidR="003476B5" w:rsidRPr="000027F1">
              <w:rPr>
                <w:rFonts w:ascii="Arial" w:hAnsi="Arial" w:cs="Arial"/>
                <w:color w:val="000000"/>
                <w:sz w:val="20"/>
                <w:lang w:val="en-GB" w:eastAsia="en-GB"/>
              </w:rPr>
              <w:t>.</w:t>
            </w:r>
            <w:r w:rsidRPr="00464454">
              <w:rPr>
                <w:rFonts w:ascii="Arial" w:hAnsi="Arial" w:cs="Arial"/>
                <w:color w:val="000000"/>
                <w:sz w:val="20"/>
                <w:lang w:val="en-GB" w:eastAsia="en-GB"/>
              </w:rPr>
              <w:t>0</w:t>
            </w:r>
          </w:p>
        </w:tc>
        <w:tc>
          <w:tcPr>
            <w:tcW w:w="1843" w:type="dxa"/>
            <w:tcBorders>
              <w:top w:val="nil"/>
              <w:left w:val="nil"/>
              <w:bottom w:val="nil"/>
              <w:right w:val="single" w:sz="8" w:space="0" w:color="auto"/>
            </w:tcBorders>
            <w:shd w:val="clear" w:color="000000" w:fill="FFFFFF"/>
            <w:noWrap/>
            <w:vAlign w:val="center"/>
            <w:hideMark/>
          </w:tcPr>
          <w:p w14:paraId="1925A8C2" w14:textId="77777777" w:rsidR="003476B5" w:rsidRPr="00464454" w:rsidRDefault="003476B5" w:rsidP="008E4307">
            <w:pPr>
              <w:jc w:val="center"/>
              <w:rPr>
                <w:rFonts w:ascii="Arial" w:hAnsi="Arial" w:cs="Arial"/>
                <w:color w:val="000000"/>
                <w:sz w:val="20"/>
                <w:lang w:val="en-GB" w:eastAsia="en-GB"/>
              </w:rPr>
            </w:pPr>
            <w:r w:rsidRPr="00464454">
              <w:rPr>
                <w:rFonts w:ascii="Arial" w:hAnsi="Arial" w:cs="Arial"/>
                <w:color w:val="000000"/>
                <w:sz w:val="20"/>
                <w:lang w:val="en-GB" w:eastAsia="en-GB"/>
              </w:rPr>
              <w:t> </w:t>
            </w:r>
          </w:p>
        </w:tc>
      </w:tr>
      <w:tr w:rsidR="003476B5" w:rsidRPr="00564521" w14:paraId="32AFB96A" w14:textId="77777777" w:rsidTr="00642DC1">
        <w:trPr>
          <w:trHeight w:val="300"/>
        </w:trPr>
        <w:tc>
          <w:tcPr>
            <w:tcW w:w="2126" w:type="dxa"/>
            <w:tcBorders>
              <w:top w:val="nil"/>
              <w:left w:val="single" w:sz="8" w:space="0" w:color="auto"/>
              <w:bottom w:val="nil"/>
              <w:right w:val="nil"/>
            </w:tcBorders>
            <w:shd w:val="clear" w:color="000000" w:fill="FFFFFF"/>
            <w:noWrap/>
            <w:vAlign w:val="center"/>
          </w:tcPr>
          <w:p w14:paraId="21061197" w14:textId="16C7892B" w:rsidR="003476B5" w:rsidRPr="00464454" w:rsidRDefault="003476B5" w:rsidP="008E4307">
            <w:pPr>
              <w:rPr>
                <w:rFonts w:ascii="Arial" w:hAnsi="Arial" w:cs="Arial"/>
                <w:color w:val="000000"/>
                <w:sz w:val="20"/>
                <w:lang w:val="en-GB" w:eastAsia="en-GB"/>
              </w:rPr>
            </w:pPr>
            <w:r w:rsidRPr="00464454">
              <w:rPr>
                <w:rFonts w:ascii="Arial" w:hAnsi="Arial" w:cs="Arial"/>
                <w:color w:val="000000"/>
                <w:sz w:val="20"/>
                <w:lang w:val="en-GB" w:eastAsia="en-GB"/>
              </w:rPr>
              <w:t>Infrastructure</w:t>
            </w:r>
          </w:p>
        </w:tc>
        <w:tc>
          <w:tcPr>
            <w:tcW w:w="2127" w:type="dxa"/>
            <w:tcBorders>
              <w:top w:val="nil"/>
              <w:left w:val="nil"/>
              <w:bottom w:val="nil"/>
              <w:right w:val="nil"/>
            </w:tcBorders>
            <w:shd w:val="clear" w:color="000000" w:fill="FFFFFF"/>
            <w:noWrap/>
            <w:vAlign w:val="center"/>
          </w:tcPr>
          <w:p w14:paraId="00DDA3E1" w14:textId="7FE60059" w:rsidR="003476B5" w:rsidRPr="00464454" w:rsidRDefault="003476B5" w:rsidP="008E4307">
            <w:pPr>
              <w:jc w:val="center"/>
              <w:rPr>
                <w:rFonts w:ascii="Arial" w:hAnsi="Arial" w:cs="Arial"/>
                <w:color w:val="000000"/>
                <w:sz w:val="20"/>
                <w:lang w:val="en-GB" w:eastAsia="en-GB"/>
              </w:rPr>
            </w:pPr>
            <w:r w:rsidRPr="00464454">
              <w:rPr>
                <w:rFonts w:ascii="Arial" w:hAnsi="Arial" w:cs="Arial"/>
                <w:color w:val="000000"/>
                <w:sz w:val="20"/>
                <w:lang w:val="en-GB" w:eastAsia="en-GB"/>
              </w:rPr>
              <w:t>Active</w:t>
            </w:r>
          </w:p>
        </w:tc>
        <w:tc>
          <w:tcPr>
            <w:tcW w:w="1842" w:type="dxa"/>
            <w:tcBorders>
              <w:top w:val="nil"/>
              <w:left w:val="nil"/>
              <w:bottom w:val="nil"/>
              <w:right w:val="nil"/>
            </w:tcBorders>
            <w:shd w:val="clear" w:color="000000" w:fill="FFFFFF"/>
            <w:noWrap/>
            <w:vAlign w:val="center"/>
          </w:tcPr>
          <w:p w14:paraId="51E48FEE" w14:textId="479E17A3" w:rsidR="003476B5" w:rsidRPr="00464454" w:rsidRDefault="003476B5">
            <w:pPr>
              <w:jc w:val="center"/>
              <w:rPr>
                <w:rFonts w:ascii="Arial" w:hAnsi="Arial" w:cs="Arial"/>
                <w:color w:val="000000"/>
                <w:sz w:val="20"/>
                <w:lang w:val="en-GB" w:eastAsia="en-GB"/>
              </w:rPr>
            </w:pPr>
            <w:r w:rsidRPr="00464454">
              <w:rPr>
                <w:rFonts w:ascii="Arial" w:hAnsi="Arial" w:cs="Arial"/>
                <w:color w:val="000000"/>
                <w:sz w:val="20"/>
                <w:lang w:val="en-GB" w:eastAsia="en-GB"/>
              </w:rPr>
              <w:t>7.5</w:t>
            </w:r>
          </w:p>
        </w:tc>
        <w:tc>
          <w:tcPr>
            <w:tcW w:w="1843" w:type="dxa"/>
            <w:tcBorders>
              <w:top w:val="nil"/>
              <w:left w:val="nil"/>
              <w:bottom w:val="nil"/>
              <w:right w:val="single" w:sz="8" w:space="0" w:color="auto"/>
            </w:tcBorders>
            <w:shd w:val="clear" w:color="000000" w:fill="FFFFFF"/>
            <w:noWrap/>
            <w:vAlign w:val="center"/>
          </w:tcPr>
          <w:p w14:paraId="48728935" w14:textId="34747B22" w:rsidR="003476B5" w:rsidRPr="00464454" w:rsidRDefault="006B589D" w:rsidP="008E4307">
            <w:pPr>
              <w:jc w:val="center"/>
              <w:rPr>
                <w:rFonts w:ascii="Arial" w:hAnsi="Arial" w:cs="Arial"/>
                <w:color w:val="FF0000"/>
                <w:sz w:val="20"/>
                <w:lang w:val="en-GB" w:eastAsia="en-GB"/>
              </w:rPr>
            </w:pPr>
            <w:r w:rsidRPr="00464454">
              <w:rPr>
                <w:rFonts w:ascii="Arial" w:hAnsi="Arial" w:cs="Arial"/>
                <w:color w:val="FF0000"/>
                <w:sz w:val="20"/>
                <w:lang w:val="en-GB" w:eastAsia="en-GB"/>
              </w:rPr>
              <w:t>£68m Committed</w:t>
            </w:r>
          </w:p>
        </w:tc>
      </w:tr>
      <w:tr w:rsidR="003476B5" w:rsidRPr="00564521" w14:paraId="6DE94A8B" w14:textId="77777777" w:rsidTr="00642DC1">
        <w:trPr>
          <w:trHeight w:val="300"/>
        </w:trPr>
        <w:tc>
          <w:tcPr>
            <w:tcW w:w="2126" w:type="dxa"/>
            <w:tcBorders>
              <w:top w:val="nil"/>
              <w:left w:val="single" w:sz="8" w:space="0" w:color="auto"/>
              <w:bottom w:val="nil"/>
              <w:right w:val="nil"/>
            </w:tcBorders>
            <w:shd w:val="clear" w:color="000000" w:fill="FFFFFF"/>
            <w:noWrap/>
            <w:vAlign w:val="center"/>
          </w:tcPr>
          <w:p w14:paraId="44AF8FA5" w14:textId="11E4DC89" w:rsidR="003476B5" w:rsidRPr="000027F1" w:rsidRDefault="00904111" w:rsidP="008E4307">
            <w:pPr>
              <w:rPr>
                <w:rFonts w:ascii="Arial" w:hAnsi="Arial" w:cs="Arial"/>
                <w:color w:val="000000"/>
                <w:sz w:val="20"/>
                <w:lang w:val="en-GB" w:eastAsia="en-GB"/>
              </w:rPr>
            </w:pPr>
            <w:r w:rsidRPr="000027F1">
              <w:rPr>
                <w:rFonts w:ascii="Arial" w:hAnsi="Arial" w:cs="Arial"/>
                <w:color w:val="000000"/>
                <w:sz w:val="20"/>
                <w:lang w:val="en-GB" w:eastAsia="en-GB"/>
              </w:rPr>
              <w:t>Asset Backed Security</w:t>
            </w:r>
          </w:p>
        </w:tc>
        <w:tc>
          <w:tcPr>
            <w:tcW w:w="2127" w:type="dxa"/>
            <w:tcBorders>
              <w:top w:val="nil"/>
              <w:left w:val="nil"/>
              <w:bottom w:val="nil"/>
              <w:right w:val="nil"/>
            </w:tcBorders>
            <w:shd w:val="clear" w:color="000000" w:fill="FFFFFF"/>
            <w:noWrap/>
            <w:vAlign w:val="center"/>
          </w:tcPr>
          <w:p w14:paraId="1E268B47" w14:textId="52B8C297" w:rsidR="003476B5" w:rsidRPr="000027F1" w:rsidRDefault="003476B5" w:rsidP="008E4307">
            <w:pPr>
              <w:jc w:val="center"/>
              <w:rPr>
                <w:rFonts w:ascii="Arial" w:hAnsi="Arial" w:cs="Arial"/>
                <w:color w:val="000000"/>
                <w:sz w:val="20"/>
                <w:lang w:val="en-GB" w:eastAsia="en-GB"/>
              </w:rPr>
            </w:pPr>
            <w:r w:rsidRPr="000027F1">
              <w:rPr>
                <w:rFonts w:ascii="Arial" w:hAnsi="Arial" w:cs="Arial"/>
                <w:color w:val="000000"/>
                <w:sz w:val="20"/>
                <w:lang w:val="en-GB" w:eastAsia="en-GB"/>
              </w:rPr>
              <w:t>Active</w:t>
            </w:r>
          </w:p>
        </w:tc>
        <w:tc>
          <w:tcPr>
            <w:tcW w:w="1842" w:type="dxa"/>
            <w:tcBorders>
              <w:top w:val="nil"/>
              <w:left w:val="nil"/>
              <w:bottom w:val="nil"/>
              <w:right w:val="nil"/>
            </w:tcBorders>
            <w:shd w:val="clear" w:color="000000" w:fill="FFFFFF"/>
            <w:noWrap/>
            <w:vAlign w:val="center"/>
          </w:tcPr>
          <w:p w14:paraId="434ED958" w14:textId="13ED22AD" w:rsidR="003476B5" w:rsidRPr="000027F1" w:rsidRDefault="003476B5">
            <w:pPr>
              <w:jc w:val="center"/>
              <w:rPr>
                <w:rFonts w:ascii="Arial" w:hAnsi="Arial" w:cs="Arial"/>
                <w:color w:val="000000"/>
                <w:sz w:val="20"/>
                <w:lang w:val="en-GB" w:eastAsia="en-GB"/>
              </w:rPr>
            </w:pPr>
            <w:r w:rsidRPr="000027F1">
              <w:rPr>
                <w:rFonts w:ascii="Arial" w:hAnsi="Arial" w:cs="Arial"/>
                <w:color w:val="000000"/>
                <w:sz w:val="20"/>
                <w:lang w:val="en-GB" w:eastAsia="en-GB"/>
              </w:rPr>
              <w:t>5.</w:t>
            </w:r>
            <w:r w:rsidR="00272490" w:rsidRPr="000027F1">
              <w:rPr>
                <w:rFonts w:ascii="Arial" w:hAnsi="Arial" w:cs="Arial"/>
                <w:color w:val="000000"/>
                <w:sz w:val="20"/>
                <w:lang w:val="en-GB" w:eastAsia="en-GB"/>
              </w:rPr>
              <w:t>5</w:t>
            </w:r>
          </w:p>
        </w:tc>
        <w:tc>
          <w:tcPr>
            <w:tcW w:w="1843" w:type="dxa"/>
            <w:tcBorders>
              <w:top w:val="nil"/>
              <w:left w:val="nil"/>
              <w:bottom w:val="nil"/>
              <w:right w:val="single" w:sz="8" w:space="0" w:color="auto"/>
            </w:tcBorders>
            <w:shd w:val="clear" w:color="000000" w:fill="FFFFFF"/>
            <w:noWrap/>
            <w:vAlign w:val="center"/>
          </w:tcPr>
          <w:p w14:paraId="42F4E9AC" w14:textId="0B581573" w:rsidR="003476B5" w:rsidRPr="000027F1" w:rsidRDefault="003476B5" w:rsidP="008E4307">
            <w:pPr>
              <w:jc w:val="center"/>
              <w:rPr>
                <w:rFonts w:ascii="Arial" w:hAnsi="Arial" w:cs="Arial"/>
                <w:color w:val="FF0000"/>
                <w:sz w:val="20"/>
                <w:lang w:val="en-GB" w:eastAsia="en-GB"/>
              </w:rPr>
            </w:pPr>
          </w:p>
        </w:tc>
      </w:tr>
      <w:tr w:rsidR="003476B5" w:rsidRPr="00564521" w14:paraId="40698F33" w14:textId="77777777" w:rsidTr="00642DC1">
        <w:trPr>
          <w:trHeight w:val="300"/>
        </w:trPr>
        <w:tc>
          <w:tcPr>
            <w:tcW w:w="2126" w:type="dxa"/>
            <w:tcBorders>
              <w:top w:val="nil"/>
              <w:left w:val="single" w:sz="8" w:space="0" w:color="auto"/>
              <w:bottom w:val="nil"/>
              <w:right w:val="nil"/>
            </w:tcBorders>
            <w:shd w:val="clear" w:color="000000" w:fill="FFFFFF"/>
            <w:noWrap/>
            <w:vAlign w:val="center"/>
          </w:tcPr>
          <w:p w14:paraId="4A35B07B" w14:textId="4D3BA502" w:rsidR="003476B5" w:rsidRPr="000027F1" w:rsidRDefault="00683DDA" w:rsidP="008E4307">
            <w:pPr>
              <w:rPr>
                <w:rFonts w:ascii="Arial" w:hAnsi="Arial" w:cs="Arial"/>
                <w:color w:val="000000"/>
                <w:sz w:val="20"/>
                <w:lang w:val="en-GB" w:eastAsia="en-GB"/>
              </w:rPr>
            </w:pPr>
            <w:r w:rsidRPr="000027F1">
              <w:rPr>
                <w:rFonts w:ascii="Arial" w:hAnsi="Arial" w:cs="Arial"/>
                <w:color w:val="000000"/>
                <w:sz w:val="20"/>
                <w:lang w:val="en-GB" w:eastAsia="en-GB"/>
              </w:rPr>
              <w:t>Renewable Infrastructure</w:t>
            </w:r>
          </w:p>
        </w:tc>
        <w:tc>
          <w:tcPr>
            <w:tcW w:w="2127" w:type="dxa"/>
            <w:tcBorders>
              <w:top w:val="nil"/>
              <w:left w:val="nil"/>
              <w:bottom w:val="nil"/>
              <w:right w:val="nil"/>
            </w:tcBorders>
            <w:shd w:val="clear" w:color="000000" w:fill="FFFFFF"/>
            <w:noWrap/>
            <w:vAlign w:val="center"/>
          </w:tcPr>
          <w:p w14:paraId="08C03F0C" w14:textId="77777777" w:rsidR="003476B5" w:rsidRPr="000027F1" w:rsidDel="008E4307" w:rsidRDefault="003476B5" w:rsidP="008E4307">
            <w:pPr>
              <w:jc w:val="center"/>
              <w:rPr>
                <w:rFonts w:ascii="Arial" w:hAnsi="Arial" w:cs="Arial"/>
                <w:color w:val="000000"/>
                <w:sz w:val="20"/>
                <w:lang w:val="en-GB" w:eastAsia="en-GB"/>
              </w:rPr>
            </w:pPr>
          </w:p>
        </w:tc>
        <w:tc>
          <w:tcPr>
            <w:tcW w:w="1842" w:type="dxa"/>
            <w:tcBorders>
              <w:top w:val="nil"/>
              <w:left w:val="nil"/>
              <w:bottom w:val="nil"/>
              <w:right w:val="nil"/>
            </w:tcBorders>
            <w:shd w:val="clear" w:color="000000" w:fill="FFFFFF"/>
            <w:noWrap/>
            <w:vAlign w:val="center"/>
          </w:tcPr>
          <w:p w14:paraId="523F5319" w14:textId="40E94E38" w:rsidR="003476B5" w:rsidRPr="000027F1" w:rsidRDefault="003476B5">
            <w:pPr>
              <w:jc w:val="center"/>
              <w:rPr>
                <w:rFonts w:ascii="Arial" w:hAnsi="Arial" w:cs="Arial"/>
                <w:color w:val="000000"/>
                <w:sz w:val="20"/>
                <w:lang w:val="en-GB" w:eastAsia="en-GB"/>
              </w:rPr>
            </w:pPr>
            <w:r w:rsidRPr="000027F1">
              <w:rPr>
                <w:rFonts w:ascii="Arial" w:hAnsi="Arial" w:cs="Arial"/>
                <w:color w:val="000000"/>
                <w:sz w:val="20"/>
                <w:lang w:val="en-GB" w:eastAsia="en-GB"/>
              </w:rPr>
              <w:t>5.0</w:t>
            </w:r>
          </w:p>
        </w:tc>
        <w:tc>
          <w:tcPr>
            <w:tcW w:w="1843" w:type="dxa"/>
            <w:tcBorders>
              <w:top w:val="nil"/>
              <w:left w:val="nil"/>
              <w:bottom w:val="nil"/>
              <w:right w:val="single" w:sz="8" w:space="0" w:color="auto"/>
            </w:tcBorders>
            <w:shd w:val="clear" w:color="000000" w:fill="FFFFFF"/>
            <w:noWrap/>
            <w:vAlign w:val="center"/>
          </w:tcPr>
          <w:p w14:paraId="6263D892" w14:textId="47AA1973" w:rsidR="003476B5" w:rsidRPr="00464454" w:rsidDel="008E4307" w:rsidRDefault="00764485" w:rsidP="008E4307">
            <w:pPr>
              <w:jc w:val="center"/>
              <w:rPr>
                <w:rFonts w:ascii="Arial" w:hAnsi="Arial" w:cs="Arial"/>
                <w:color w:val="000000"/>
                <w:sz w:val="20"/>
                <w:lang w:val="en-GB" w:eastAsia="en-GB"/>
              </w:rPr>
            </w:pPr>
            <w:r w:rsidRPr="000027F1">
              <w:rPr>
                <w:rFonts w:ascii="Arial" w:hAnsi="Arial" w:cs="Arial"/>
                <w:color w:val="FF0000"/>
                <w:sz w:val="20"/>
                <w:lang w:val="en-GB" w:eastAsia="en-GB"/>
              </w:rPr>
              <w:t>£50m committed</w:t>
            </w:r>
          </w:p>
        </w:tc>
      </w:tr>
      <w:tr w:rsidR="00B81A34" w:rsidRPr="00564521" w14:paraId="4B491386" w14:textId="77777777" w:rsidTr="00642DC1">
        <w:trPr>
          <w:trHeight w:val="300"/>
        </w:trPr>
        <w:tc>
          <w:tcPr>
            <w:tcW w:w="2126" w:type="dxa"/>
            <w:tcBorders>
              <w:top w:val="nil"/>
              <w:left w:val="single" w:sz="8" w:space="0" w:color="auto"/>
              <w:bottom w:val="nil"/>
              <w:right w:val="nil"/>
            </w:tcBorders>
            <w:shd w:val="clear" w:color="000000" w:fill="FFFFFF"/>
            <w:noWrap/>
            <w:vAlign w:val="center"/>
          </w:tcPr>
          <w:p w14:paraId="6BD125D4" w14:textId="6DED446C" w:rsidR="00B81A34" w:rsidRPr="00464454" w:rsidRDefault="00B81A34" w:rsidP="008E4307">
            <w:pPr>
              <w:rPr>
                <w:rFonts w:ascii="Arial" w:hAnsi="Arial" w:cs="Arial"/>
                <w:color w:val="000000"/>
                <w:sz w:val="20"/>
                <w:lang w:val="en-GB" w:eastAsia="en-GB"/>
              </w:rPr>
            </w:pPr>
            <w:r w:rsidRPr="00464454">
              <w:rPr>
                <w:rFonts w:ascii="Arial" w:hAnsi="Arial" w:cs="Arial"/>
                <w:color w:val="000000"/>
                <w:sz w:val="20"/>
                <w:lang w:val="en-GB" w:eastAsia="en-GB"/>
              </w:rPr>
              <w:t>Private Equity**</w:t>
            </w:r>
          </w:p>
        </w:tc>
        <w:tc>
          <w:tcPr>
            <w:tcW w:w="2127" w:type="dxa"/>
            <w:tcBorders>
              <w:top w:val="nil"/>
              <w:left w:val="nil"/>
              <w:bottom w:val="nil"/>
              <w:right w:val="nil"/>
            </w:tcBorders>
            <w:shd w:val="clear" w:color="000000" w:fill="FFFFFF"/>
            <w:noWrap/>
            <w:vAlign w:val="center"/>
          </w:tcPr>
          <w:p w14:paraId="51A51BEB" w14:textId="70B5D868" w:rsidR="00B81A34" w:rsidRPr="00464454" w:rsidDel="008E4307" w:rsidRDefault="00B81A34" w:rsidP="008E4307">
            <w:pPr>
              <w:jc w:val="center"/>
              <w:rPr>
                <w:rFonts w:ascii="Arial" w:hAnsi="Arial" w:cs="Arial"/>
                <w:color w:val="000000"/>
                <w:sz w:val="20"/>
                <w:lang w:val="en-GB" w:eastAsia="en-GB"/>
              </w:rPr>
            </w:pPr>
            <w:r w:rsidRPr="00464454">
              <w:rPr>
                <w:rFonts w:ascii="Arial" w:hAnsi="Arial" w:cs="Arial"/>
                <w:color w:val="000000"/>
                <w:sz w:val="20"/>
                <w:lang w:val="en-GB" w:eastAsia="en-GB"/>
              </w:rPr>
              <w:t>Active</w:t>
            </w:r>
          </w:p>
        </w:tc>
        <w:tc>
          <w:tcPr>
            <w:tcW w:w="1842" w:type="dxa"/>
            <w:tcBorders>
              <w:top w:val="nil"/>
              <w:left w:val="nil"/>
              <w:bottom w:val="nil"/>
              <w:right w:val="nil"/>
            </w:tcBorders>
            <w:shd w:val="clear" w:color="000000" w:fill="FFFFFF"/>
            <w:noWrap/>
            <w:vAlign w:val="center"/>
          </w:tcPr>
          <w:p w14:paraId="462CE169" w14:textId="04361B77" w:rsidR="00B81A34" w:rsidRPr="00464454" w:rsidRDefault="00683DDA">
            <w:pPr>
              <w:jc w:val="center"/>
              <w:rPr>
                <w:rFonts w:ascii="Arial" w:hAnsi="Arial" w:cs="Arial"/>
                <w:color w:val="000000"/>
                <w:sz w:val="20"/>
                <w:lang w:val="en-GB" w:eastAsia="en-GB"/>
              </w:rPr>
            </w:pPr>
            <w:r w:rsidRPr="00464454">
              <w:rPr>
                <w:rFonts w:ascii="Arial" w:hAnsi="Arial" w:cs="Arial"/>
                <w:color w:val="000000"/>
                <w:sz w:val="20"/>
                <w:lang w:val="en-GB" w:eastAsia="en-GB"/>
              </w:rPr>
              <w:t>1</w:t>
            </w:r>
            <w:r w:rsidR="00B81A34" w:rsidRPr="00464454">
              <w:rPr>
                <w:rFonts w:ascii="Arial" w:hAnsi="Arial" w:cs="Arial"/>
                <w:color w:val="000000"/>
                <w:sz w:val="20"/>
                <w:lang w:val="en-GB" w:eastAsia="en-GB"/>
              </w:rPr>
              <w:t>.0</w:t>
            </w:r>
          </w:p>
        </w:tc>
        <w:tc>
          <w:tcPr>
            <w:tcW w:w="1843" w:type="dxa"/>
            <w:tcBorders>
              <w:top w:val="nil"/>
              <w:left w:val="nil"/>
              <w:bottom w:val="nil"/>
              <w:right w:val="single" w:sz="8" w:space="0" w:color="auto"/>
            </w:tcBorders>
            <w:shd w:val="clear" w:color="000000" w:fill="FFFFFF"/>
            <w:noWrap/>
            <w:vAlign w:val="center"/>
          </w:tcPr>
          <w:p w14:paraId="42D04738" w14:textId="77777777" w:rsidR="00B81A34" w:rsidRPr="00464454" w:rsidDel="008E4307" w:rsidRDefault="00B81A34" w:rsidP="008E4307">
            <w:pPr>
              <w:jc w:val="center"/>
              <w:rPr>
                <w:rFonts w:ascii="Arial" w:hAnsi="Arial" w:cs="Arial"/>
                <w:color w:val="000000"/>
                <w:sz w:val="20"/>
                <w:lang w:val="en-GB" w:eastAsia="en-GB"/>
              </w:rPr>
            </w:pPr>
          </w:p>
        </w:tc>
      </w:tr>
      <w:tr w:rsidR="003476B5" w:rsidRPr="00564521" w14:paraId="003F8CAB" w14:textId="77777777" w:rsidTr="00642DC1">
        <w:trPr>
          <w:trHeight w:val="300"/>
        </w:trPr>
        <w:tc>
          <w:tcPr>
            <w:tcW w:w="4253" w:type="dxa"/>
            <w:gridSpan w:val="2"/>
            <w:tcBorders>
              <w:top w:val="single" w:sz="8" w:space="0" w:color="auto"/>
              <w:left w:val="single" w:sz="8" w:space="0" w:color="auto"/>
              <w:bottom w:val="single" w:sz="8" w:space="0" w:color="auto"/>
              <w:right w:val="nil"/>
            </w:tcBorders>
            <w:shd w:val="clear" w:color="000000" w:fill="FFFFFF"/>
            <w:noWrap/>
            <w:vAlign w:val="center"/>
          </w:tcPr>
          <w:p w14:paraId="3A5D7B46" w14:textId="49BF57AB" w:rsidR="003476B5" w:rsidRPr="00642DC1" w:rsidRDefault="003476B5" w:rsidP="00642DC1">
            <w:pPr>
              <w:rPr>
                <w:rFonts w:ascii="Arial" w:hAnsi="Arial" w:cs="Arial"/>
                <w:b/>
                <w:bCs/>
                <w:color w:val="000000"/>
                <w:sz w:val="22"/>
                <w:szCs w:val="22"/>
                <w:lang w:val="en-GB" w:eastAsia="en-GB"/>
              </w:rPr>
            </w:pPr>
            <w:r w:rsidRPr="00642DC1">
              <w:rPr>
                <w:rFonts w:ascii="Arial" w:hAnsi="Arial" w:cs="Arial"/>
                <w:b/>
                <w:bCs/>
                <w:color w:val="000000"/>
                <w:sz w:val="22"/>
                <w:szCs w:val="22"/>
                <w:lang w:val="en-GB" w:eastAsia="en-GB"/>
              </w:rPr>
              <w:t>Risk Control Bucket</w:t>
            </w:r>
          </w:p>
        </w:tc>
        <w:tc>
          <w:tcPr>
            <w:tcW w:w="1842" w:type="dxa"/>
            <w:tcBorders>
              <w:top w:val="single" w:sz="8" w:space="0" w:color="auto"/>
              <w:left w:val="nil"/>
              <w:bottom w:val="single" w:sz="8" w:space="0" w:color="auto"/>
              <w:right w:val="nil"/>
            </w:tcBorders>
            <w:shd w:val="clear" w:color="000000" w:fill="FFFFFF"/>
            <w:noWrap/>
            <w:vAlign w:val="center"/>
          </w:tcPr>
          <w:p w14:paraId="2F4F03F3" w14:textId="4C931629" w:rsidR="003476B5" w:rsidRPr="00642DC1" w:rsidRDefault="003476B5">
            <w:pPr>
              <w:jc w:val="center"/>
              <w:rPr>
                <w:rFonts w:ascii="Arial" w:hAnsi="Arial" w:cs="Arial"/>
                <w:b/>
                <w:bCs/>
                <w:color w:val="000000"/>
                <w:sz w:val="22"/>
                <w:szCs w:val="22"/>
                <w:lang w:val="en-GB" w:eastAsia="en-GB"/>
              </w:rPr>
            </w:pPr>
            <w:r w:rsidRPr="00642DC1">
              <w:rPr>
                <w:rFonts w:ascii="Arial" w:hAnsi="Arial" w:cs="Arial"/>
                <w:b/>
                <w:bCs/>
                <w:color w:val="000000"/>
                <w:sz w:val="22"/>
                <w:szCs w:val="22"/>
                <w:lang w:val="en-GB" w:eastAsia="en-GB"/>
              </w:rPr>
              <w:t>25.0</w:t>
            </w:r>
          </w:p>
        </w:tc>
        <w:tc>
          <w:tcPr>
            <w:tcW w:w="1843" w:type="dxa"/>
            <w:tcBorders>
              <w:top w:val="single" w:sz="8" w:space="0" w:color="auto"/>
              <w:left w:val="nil"/>
              <w:bottom w:val="single" w:sz="8" w:space="0" w:color="auto"/>
              <w:right w:val="single" w:sz="8" w:space="0" w:color="auto"/>
            </w:tcBorders>
            <w:shd w:val="clear" w:color="000000" w:fill="FFFFFF"/>
            <w:noWrap/>
            <w:vAlign w:val="center"/>
          </w:tcPr>
          <w:p w14:paraId="05573AC0" w14:textId="41C5F0F8" w:rsidR="003476B5" w:rsidRPr="00642DC1" w:rsidRDefault="003476B5" w:rsidP="008E4307">
            <w:pPr>
              <w:jc w:val="center"/>
              <w:rPr>
                <w:rFonts w:ascii="Arial" w:hAnsi="Arial" w:cs="Arial"/>
                <w:b/>
                <w:bCs/>
                <w:color w:val="000000"/>
                <w:sz w:val="22"/>
                <w:szCs w:val="22"/>
                <w:lang w:val="en-GB" w:eastAsia="en-GB"/>
              </w:rPr>
            </w:pPr>
            <w:r>
              <w:rPr>
                <w:rFonts w:ascii="Arial" w:hAnsi="Arial" w:cs="Arial"/>
                <w:b/>
                <w:bCs/>
                <w:color w:val="000000"/>
                <w:sz w:val="22"/>
                <w:szCs w:val="22"/>
                <w:lang w:val="en-GB" w:eastAsia="en-GB"/>
              </w:rPr>
              <w:t>20.0 - 30.0</w:t>
            </w:r>
          </w:p>
        </w:tc>
      </w:tr>
      <w:tr w:rsidR="003476B5" w:rsidRPr="00564521" w14:paraId="73290377" w14:textId="77777777" w:rsidTr="00642DC1">
        <w:trPr>
          <w:trHeight w:val="300"/>
        </w:trPr>
        <w:tc>
          <w:tcPr>
            <w:tcW w:w="2126" w:type="dxa"/>
            <w:tcBorders>
              <w:top w:val="nil"/>
              <w:left w:val="single" w:sz="8" w:space="0" w:color="auto"/>
              <w:bottom w:val="nil"/>
              <w:right w:val="nil"/>
            </w:tcBorders>
            <w:shd w:val="clear" w:color="000000" w:fill="FFFFFF"/>
            <w:noWrap/>
            <w:vAlign w:val="center"/>
            <w:hideMark/>
          </w:tcPr>
          <w:p w14:paraId="21041BAB" w14:textId="61BA3E45" w:rsidR="003476B5" w:rsidRPr="00564521" w:rsidRDefault="003476B5" w:rsidP="008E4307">
            <w:pPr>
              <w:rPr>
                <w:rFonts w:ascii="Arial" w:hAnsi="Arial" w:cs="Arial"/>
                <w:color w:val="000000"/>
                <w:sz w:val="20"/>
                <w:lang w:val="en-GB" w:eastAsia="en-GB"/>
              </w:rPr>
            </w:pPr>
            <w:r>
              <w:rPr>
                <w:rFonts w:ascii="Arial" w:hAnsi="Arial" w:cs="Arial"/>
                <w:color w:val="000000"/>
                <w:sz w:val="20"/>
                <w:lang w:val="en-GB" w:eastAsia="en-GB"/>
              </w:rPr>
              <w:t>UK Corporate Bonds</w:t>
            </w:r>
          </w:p>
        </w:tc>
        <w:tc>
          <w:tcPr>
            <w:tcW w:w="2127" w:type="dxa"/>
            <w:tcBorders>
              <w:top w:val="nil"/>
              <w:left w:val="nil"/>
              <w:bottom w:val="nil"/>
              <w:right w:val="nil"/>
            </w:tcBorders>
            <w:shd w:val="clear" w:color="000000" w:fill="FFFFFF"/>
            <w:noWrap/>
            <w:vAlign w:val="center"/>
            <w:hideMark/>
          </w:tcPr>
          <w:p w14:paraId="35A634A8" w14:textId="06066ED7" w:rsidR="003476B5" w:rsidRPr="00564521" w:rsidRDefault="003476B5" w:rsidP="008E4307">
            <w:pPr>
              <w:jc w:val="center"/>
              <w:rPr>
                <w:rFonts w:ascii="Arial" w:hAnsi="Arial" w:cs="Arial"/>
                <w:color w:val="000000"/>
                <w:sz w:val="20"/>
                <w:lang w:val="en-GB" w:eastAsia="en-GB"/>
              </w:rPr>
            </w:pPr>
            <w:r>
              <w:rPr>
                <w:rFonts w:ascii="Arial" w:hAnsi="Arial" w:cs="Arial"/>
                <w:color w:val="000000"/>
                <w:sz w:val="20"/>
                <w:lang w:val="en-GB" w:eastAsia="en-GB"/>
              </w:rPr>
              <w:t>Active</w:t>
            </w:r>
            <w:r w:rsidRPr="00564521">
              <w:rPr>
                <w:rFonts w:ascii="Arial" w:hAnsi="Arial" w:cs="Arial"/>
                <w:color w:val="000000"/>
                <w:sz w:val="20"/>
                <w:lang w:val="en-GB" w:eastAsia="en-GB"/>
              </w:rPr>
              <w:t> </w:t>
            </w:r>
          </w:p>
        </w:tc>
        <w:tc>
          <w:tcPr>
            <w:tcW w:w="1842" w:type="dxa"/>
            <w:tcBorders>
              <w:top w:val="nil"/>
              <w:left w:val="nil"/>
              <w:bottom w:val="nil"/>
              <w:right w:val="nil"/>
            </w:tcBorders>
            <w:shd w:val="clear" w:color="000000" w:fill="FFFFFF"/>
            <w:noWrap/>
            <w:vAlign w:val="center"/>
            <w:hideMark/>
          </w:tcPr>
          <w:p w14:paraId="443EE879" w14:textId="16FDA222" w:rsidR="003476B5" w:rsidRPr="00564521" w:rsidRDefault="003476B5">
            <w:pPr>
              <w:jc w:val="center"/>
              <w:rPr>
                <w:rFonts w:ascii="Arial" w:hAnsi="Arial" w:cs="Arial"/>
                <w:color w:val="000000"/>
                <w:sz w:val="20"/>
                <w:lang w:val="en-GB" w:eastAsia="en-GB"/>
              </w:rPr>
            </w:pPr>
            <w:r>
              <w:rPr>
                <w:rFonts w:ascii="Arial" w:hAnsi="Arial" w:cs="Arial"/>
                <w:color w:val="000000"/>
                <w:sz w:val="20"/>
                <w:lang w:val="en-GB" w:eastAsia="en-GB"/>
              </w:rPr>
              <w:t>5.0</w:t>
            </w:r>
          </w:p>
        </w:tc>
        <w:tc>
          <w:tcPr>
            <w:tcW w:w="1843" w:type="dxa"/>
            <w:tcBorders>
              <w:top w:val="nil"/>
              <w:left w:val="nil"/>
              <w:bottom w:val="nil"/>
              <w:right w:val="single" w:sz="8" w:space="0" w:color="auto"/>
            </w:tcBorders>
            <w:shd w:val="clear" w:color="000000" w:fill="FFFFFF"/>
            <w:noWrap/>
            <w:vAlign w:val="center"/>
            <w:hideMark/>
          </w:tcPr>
          <w:p w14:paraId="3C6942D3" w14:textId="77777777" w:rsidR="003476B5" w:rsidRPr="00564521" w:rsidRDefault="003476B5" w:rsidP="008E4307">
            <w:pPr>
              <w:jc w:val="center"/>
              <w:rPr>
                <w:rFonts w:ascii="Arial" w:hAnsi="Arial" w:cs="Arial"/>
                <w:color w:val="000000"/>
                <w:sz w:val="20"/>
                <w:lang w:val="en-GB" w:eastAsia="en-GB"/>
              </w:rPr>
            </w:pPr>
            <w:r w:rsidRPr="00564521">
              <w:rPr>
                <w:rFonts w:ascii="Arial" w:hAnsi="Arial" w:cs="Arial"/>
                <w:color w:val="000000"/>
                <w:sz w:val="20"/>
                <w:lang w:val="en-GB" w:eastAsia="en-GB"/>
              </w:rPr>
              <w:t> </w:t>
            </w:r>
          </w:p>
        </w:tc>
      </w:tr>
      <w:tr w:rsidR="003476B5" w:rsidRPr="00564521" w14:paraId="28C6E3EE" w14:textId="77777777" w:rsidTr="00642DC1">
        <w:trPr>
          <w:trHeight w:val="300"/>
        </w:trPr>
        <w:tc>
          <w:tcPr>
            <w:tcW w:w="2126" w:type="dxa"/>
            <w:tcBorders>
              <w:top w:val="nil"/>
              <w:left w:val="single" w:sz="8" w:space="0" w:color="auto"/>
              <w:bottom w:val="nil"/>
              <w:right w:val="nil"/>
            </w:tcBorders>
            <w:shd w:val="clear" w:color="000000" w:fill="FFFFFF"/>
            <w:noWrap/>
            <w:vAlign w:val="center"/>
          </w:tcPr>
          <w:p w14:paraId="3D83DE0F" w14:textId="05747BF3" w:rsidR="003476B5" w:rsidRPr="00564521" w:rsidRDefault="003476B5" w:rsidP="008E4307">
            <w:pPr>
              <w:rPr>
                <w:rFonts w:ascii="Arial" w:hAnsi="Arial" w:cs="Arial"/>
                <w:color w:val="000000"/>
                <w:sz w:val="20"/>
                <w:lang w:val="en-GB" w:eastAsia="en-GB"/>
              </w:rPr>
            </w:pPr>
            <w:r>
              <w:rPr>
                <w:rFonts w:ascii="Arial" w:hAnsi="Arial" w:cs="Arial"/>
                <w:color w:val="000000"/>
                <w:sz w:val="20"/>
                <w:lang w:val="en-GB" w:eastAsia="en-GB"/>
              </w:rPr>
              <w:t>Global Bonds</w:t>
            </w:r>
          </w:p>
        </w:tc>
        <w:tc>
          <w:tcPr>
            <w:tcW w:w="2127" w:type="dxa"/>
            <w:tcBorders>
              <w:top w:val="nil"/>
              <w:left w:val="nil"/>
              <w:bottom w:val="nil"/>
              <w:right w:val="nil"/>
            </w:tcBorders>
            <w:shd w:val="clear" w:color="000000" w:fill="FFFFFF"/>
            <w:noWrap/>
            <w:vAlign w:val="center"/>
          </w:tcPr>
          <w:p w14:paraId="06EAC942" w14:textId="53355DAC" w:rsidR="003476B5" w:rsidRPr="00564521" w:rsidRDefault="003476B5" w:rsidP="008E4307">
            <w:pPr>
              <w:jc w:val="center"/>
              <w:rPr>
                <w:rFonts w:ascii="Arial" w:hAnsi="Arial" w:cs="Arial"/>
                <w:color w:val="000000"/>
                <w:sz w:val="20"/>
                <w:lang w:val="en-GB" w:eastAsia="en-GB"/>
              </w:rPr>
            </w:pPr>
            <w:r>
              <w:rPr>
                <w:rFonts w:ascii="Arial" w:hAnsi="Arial" w:cs="Arial"/>
                <w:color w:val="000000"/>
                <w:sz w:val="20"/>
                <w:lang w:val="en-GB" w:eastAsia="en-GB"/>
              </w:rPr>
              <w:t>Active</w:t>
            </w:r>
          </w:p>
        </w:tc>
        <w:tc>
          <w:tcPr>
            <w:tcW w:w="1842" w:type="dxa"/>
            <w:tcBorders>
              <w:top w:val="nil"/>
              <w:left w:val="nil"/>
              <w:bottom w:val="nil"/>
              <w:right w:val="nil"/>
            </w:tcBorders>
            <w:shd w:val="clear" w:color="000000" w:fill="FFFFFF"/>
            <w:noWrap/>
            <w:vAlign w:val="center"/>
          </w:tcPr>
          <w:p w14:paraId="78379A5A" w14:textId="3EF3CFE2" w:rsidR="003476B5" w:rsidRPr="00564521" w:rsidRDefault="003476B5">
            <w:pPr>
              <w:jc w:val="center"/>
              <w:rPr>
                <w:rFonts w:ascii="Arial" w:hAnsi="Arial" w:cs="Arial"/>
                <w:color w:val="000000"/>
                <w:sz w:val="20"/>
                <w:lang w:val="en-GB" w:eastAsia="en-GB"/>
              </w:rPr>
            </w:pPr>
            <w:r>
              <w:rPr>
                <w:rFonts w:ascii="Arial" w:hAnsi="Arial" w:cs="Arial"/>
                <w:color w:val="000000"/>
                <w:sz w:val="20"/>
                <w:lang w:val="en-GB" w:eastAsia="en-GB"/>
              </w:rPr>
              <w:t>5.0</w:t>
            </w:r>
          </w:p>
        </w:tc>
        <w:tc>
          <w:tcPr>
            <w:tcW w:w="1843" w:type="dxa"/>
            <w:tcBorders>
              <w:top w:val="nil"/>
              <w:left w:val="nil"/>
              <w:bottom w:val="nil"/>
              <w:right w:val="single" w:sz="8" w:space="0" w:color="auto"/>
            </w:tcBorders>
            <w:shd w:val="clear" w:color="000000" w:fill="FFFFFF"/>
            <w:noWrap/>
            <w:vAlign w:val="center"/>
          </w:tcPr>
          <w:p w14:paraId="08296370" w14:textId="77777777" w:rsidR="003476B5" w:rsidRPr="00564521" w:rsidRDefault="003476B5" w:rsidP="008E4307">
            <w:pPr>
              <w:jc w:val="center"/>
              <w:rPr>
                <w:rFonts w:ascii="Arial" w:hAnsi="Arial" w:cs="Arial"/>
                <w:color w:val="000000"/>
                <w:sz w:val="20"/>
                <w:lang w:val="en-GB" w:eastAsia="en-GB"/>
              </w:rPr>
            </w:pPr>
          </w:p>
        </w:tc>
      </w:tr>
      <w:tr w:rsidR="003476B5" w:rsidRPr="00564521" w14:paraId="41216FEF" w14:textId="77777777" w:rsidTr="00642DC1">
        <w:trPr>
          <w:trHeight w:val="300"/>
        </w:trPr>
        <w:tc>
          <w:tcPr>
            <w:tcW w:w="2126" w:type="dxa"/>
            <w:tcBorders>
              <w:top w:val="nil"/>
              <w:left w:val="single" w:sz="8" w:space="0" w:color="auto"/>
              <w:bottom w:val="nil"/>
              <w:right w:val="nil"/>
            </w:tcBorders>
            <w:shd w:val="clear" w:color="000000" w:fill="FFFFFF"/>
            <w:noWrap/>
            <w:vAlign w:val="center"/>
          </w:tcPr>
          <w:p w14:paraId="56686191" w14:textId="188EDD0D" w:rsidR="003476B5" w:rsidRDefault="003476B5" w:rsidP="008E4307">
            <w:pPr>
              <w:rPr>
                <w:rFonts w:ascii="Arial" w:hAnsi="Arial" w:cs="Arial"/>
                <w:color w:val="000000"/>
                <w:sz w:val="20"/>
                <w:lang w:val="en-GB" w:eastAsia="en-GB"/>
              </w:rPr>
            </w:pPr>
            <w:r>
              <w:rPr>
                <w:rFonts w:ascii="Arial" w:hAnsi="Arial" w:cs="Arial"/>
                <w:color w:val="000000"/>
                <w:sz w:val="20"/>
                <w:lang w:val="en-GB" w:eastAsia="en-GB"/>
              </w:rPr>
              <w:t>Index-Linked Bonds</w:t>
            </w:r>
          </w:p>
        </w:tc>
        <w:tc>
          <w:tcPr>
            <w:tcW w:w="2127" w:type="dxa"/>
            <w:tcBorders>
              <w:top w:val="nil"/>
              <w:left w:val="nil"/>
              <w:bottom w:val="nil"/>
              <w:right w:val="nil"/>
            </w:tcBorders>
            <w:shd w:val="clear" w:color="000000" w:fill="FFFFFF"/>
            <w:noWrap/>
            <w:vAlign w:val="center"/>
          </w:tcPr>
          <w:p w14:paraId="7D73D854" w14:textId="7D9978DA" w:rsidR="003476B5" w:rsidRPr="00564521" w:rsidRDefault="003476B5" w:rsidP="008E4307">
            <w:pPr>
              <w:jc w:val="center"/>
              <w:rPr>
                <w:rFonts w:ascii="Arial" w:hAnsi="Arial" w:cs="Arial"/>
                <w:color w:val="000000"/>
                <w:sz w:val="20"/>
                <w:lang w:val="en-GB" w:eastAsia="en-GB"/>
              </w:rPr>
            </w:pPr>
            <w:r>
              <w:rPr>
                <w:rFonts w:ascii="Arial" w:hAnsi="Arial" w:cs="Arial"/>
                <w:color w:val="000000"/>
                <w:sz w:val="20"/>
                <w:lang w:val="en-GB" w:eastAsia="en-GB"/>
              </w:rPr>
              <w:t>Passive</w:t>
            </w:r>
          </w:p>
        </w:tc>
        <w:tc>
          <w:tcPr>
            <w:tcW w:w="1842" w:type="dxa"/>
            <w:tcBorders>
              <w:top w:val="nil"/>
              <w:left w:val="nil"/>
              <w:bottom w:val="nil"/>
              <w:right w:val="nil"/>
            </w:tcBorders>
            <w:shd w:val="clear" w:color="000000" w:fill="FFFFFF"/>
            <w:noWrap/>
            <w:vAlign w:val="center"/>
          </w:tcPr>
          <w:p w14:paraId="603F1ADB" w14:textId="2BAD1FEB" w:rsidR="003476B5" w:rsidRDefault="003476B5">
            <w:pPr>
              <w:jc w:val="center"/>
              <w:rPr>
                <w:rFonts w:ascii="Arial" w:hAnsi="Arial" w:cs="Arial"/>
                <w:color w:val="000000"/>
                <w:sz w:val="20"/>
                <w:lang w:val="en-GB" w:eastAsia="en-GB"/>
              </w:rPr>
            </w:pPr>
            <w:r>
              <w:rPr>
                <w:rFonts w:ascii="Arial" w:hAnsi="Arial" w:cs="Arial"/>
                <w:color w:val="000000"/>
                <w:sz w:val="20"/>
                <w:lang w:val="en-GB" w:eastAsia="en-GB"/>
              </w:rPr>
              <w:t>5.0</w:t>
            </w:r>
          </w:p>
        </w:tc>
        <w:tc>
          <w:tcPr>
            <w:tcW w:w="1843" w:type="dxa"/>
            <w:tcBorders>
              <w:top w:val="nil"/>
              <w:left w:val="nil"/>
              <w:bottom w:val="nil"/>
              <w:right w:val="single" w:sz="8" w:space="0" w:color="auto"/>
            </w:tcBorders>
            <w:shd w:val="clear" w:color="000000" w:fill="FFFFFF"/>
            <w:noWrap/>
            <w:vAlign w:val="center"/>
          </w:tcPr>
          <w:p w14:paraId="6FF625A3" w14:textId="77777777" w:rsidR="003476B5" w:rsidRPr="00564521" w:rsidRDefault="003476B5" w:rsidP="008E4307">
            <w:pPr>
              <w:jc w:val="center"/>
              <w:rPr>
                <w:rFonts w:ascii="Arial" w:hAnsi="Arial" w:cs="Arial"/>
                <w:color w:val="000000"/>
                <w:sz w:val="20"/>
                <w:lang w:val="en-GB" w:eastAsia="en-GB"/>
              </w:rPr>
            </w:pPr>
          </w:p>
        </w:tc>
      </w:tr>
      <w:tr w:rsidR="003476B5" w:rsidRPr="00564521" w14:paraId="5FCA0967" w14:textId="77777777" w:rsidTr="00642DC1">
        <w:trPr>
          <w:trHeight w:val="300"/>
        </w:trPr>
        <w:tc>
          <w:tcPr>
            <w:tcW w:w="2126" w:type="dxa"/>
            <w:tcBorders>
              <w:top w:val="nil"/>
              <w:left w:val="single" w:sz="8" w:space="0" w:color="auto"/>
              <w:bottom w:val="nil"/>
              <w:right w:val="nil"/>
            </w:tcBorders>
            <w:shd w:val="clear" w:color="000000" w:fill="FFFFFF"/>
            <w:noWrap/>
            <w:vAlign w:val="center"/>
          </w:tcPr>
          <w:p w14:paraId="0345D9B0" w14:textId="4A02C167" w:rsidR="003476B5" w:rsidRDefault="003476B5" w:rsidP="008E4307">
            <w:pPr>
              <w:rPr>
                <w:rFonts w:ascii="Arial" w:hAnsi="Arial" w:cs="Arial"/>
                <w:color w:val="000000"/>
                <w:sz w:val="20"/>
                <w:lang w:val="en-GB" w:eastAsia="en-GB"/>
              </w:rPr>
            </w:pPr>
            <w:r>
              <w:rPr>
                <w:rFonts w:ascii="Arial" w:hAnsi="Arial" w:cs="Arial"/>
                <w:color w:val="000000"/>
                <w:sz w:val="20"/>
                <w:lang w:val="en-GB" w:eastAsia="en-GB"/>
              </w:rPr>
              <w:t>Multi-Asset Credit</w:t>
            </w:r>
          </w:p>
        </w:tc>
        <w:tc>
          <w:tcPr>
            <w:tcW w:w="2127" w:type="dxa"/>
            <w:tcBorders>
              <w:top w:val="nil"/>
              <w:left w:val="nil"/>
              <w:bottom w:val="nil"/>
              <w:right w:val="nil"/>
            </w:tcBorders>
            <w:shd w:val="clear" w:color="000000" w:fill="FFFFFF"/>
            <w:noWrap/>
            <w:vAlign w:val="center"/>
          </w:tcPr>
          <w:p w14:paraId="29BCEEDC" w14:textId="0F8636C2" w:rsidR="003476B5" w:rsidRPr="00564521" w:rsidRDefault="003476B5" w:rsidP="008E4307">
            <w:pPr>
              <w:jc w:val="center"/>
              <w:rPr>
                <w:rFonts w:ascii="Arial" w:hAnsi="Arial" w:cs="Arial"/>
                <w:color w:val="000000"/>
                <w:sz w:val="20"/>
                <w:lang w:val="en-GB" w:eastAsia="en-GB"/>
              </w:rPr>
            </w:pPr>
            <w:r>
              <w:rPr>
                <w:rFonts w:ascii="Arial" w:hAnsi="Arial" w:cs="Arial"/>
                <w:color w:val="000000"/>
                <w:sz w:val="20"/>
                <w:lang w:val="en-GB" w:eastAsia="en-GB"/>
              </w:rPr>
              <w:t>Active</w:t>
            </w:r>
          </w:p>
        </w:tc>
        <w:tc>
          <w:tcPr>
            <w:tcW w:w="1842" w:type="dxa"/>
            <w:tcBorders>
              <w:top w:val="nil"/>
              <w:left w:val="nil"/>
              <w:bottom w:val="nil"/>
              <w:right w:val="nil"/>
            </w:tcBorders>
            <w:shd w:val="clear" w:color="000000" w:fill="FFFFFF"/>
            <w:noWrap/>
            <w:vAlign w:val="center"/>
          </w:tcPr>
          <w:p w14:paraId="5024310F" w14:textId="20DF4322" w:rsidR="003476B5" w:rsidRDefault="00B81A34">
            <w:pPr>
              <w:jc w:val="center"/>
              <w:rPr>
                <w:rFonts w:ascii="Arial" w:hAnsi="Arial" w:cs="Arial"/>
                <w:color w:val="000000"/>
                <w:sz w:val="20"/>
                <w:lang w:val="en-GB" w:eastAsia="en-GB"/>
              </w:rPr>
            </w:pPr>
            <w:r>
              <w:rPr>
                <w:rFonts w:ascii="Arial" w:hAnsi="Arial" w:cs="Arial"/>
                <w:color w:val="000000"/>
                <w:sz w:val="20"/>
                <w:lang w:val="en-GB" w:eastAsia="en-GB"/>
              </w:rPr>
              <w:t>10</w:t>
            </w:r>
            <w:r w:rsidR="003476B5">
              <w:rPr>
                <w:rFonts w:ascii="Arial" w:hAnsi="Arial" w:cs="Arial"/>
                <w:color w:val="000000"/>
                <w:sz w:val="20"/>
                <w:lang w:val="en-GB" w:eastAsia="en-GB"/>
              </w:rPr>
              <w:t>.0</w:t>
            </w:r>
          </w:p>
        </w:tc>
        <w:tc>
          <w:tcPr>
            <w:tcW w:w="1843" w:type="dxa"/>
            <w:tcBorders>
              <w:top w:val="nil"/>
              <w:left w:val="nil"/>
              <w:bottom w:val="nil"/>
              <w:right w:val="single" w:sz="8" w:space="0" w:color="auto"/>
            </w:tcBorders>
            <w:shd w:val="clear" w:color="000000" w:fill="FFFFFF"/>
            <w:noWrap/>
            <w:vAlign w:val="center"/>
          </w:tcPr>
          <w:p w14:paraId="177AF3B4" w14:textId="77777777" w:rsidR="003476B5" w:rsidRPr="00564521" w:rsidRDefault="003476B5" w:rsidP="008E4307">
            <w:pPr>
              <w:jc w:val="center"/>
              <w:rPr>
                <w:rFonts w:ascii="Arial" w:hAnsi="Arial" w:cs="Arial"/>
                <w:color w:val="000000"/>
                <w:sz w:val="20"/>
                <w:lang w:val="en-GB" w:eastAsia="en-GB"/>
              </w:rPr>
            </w:pPr>
          </w:p>
        </w:tc>
      </w:tr>
      <w:tr w:rsidR="003476B5" w:rsidRPr="00464454" w14:paraId="7F404FCF" w14:textId="77777777" w:rsidTr="00642DC1">
        <w:trPr>
          <w:trHeight w:val="285"/>
        </w:trPr>
        <w:tc>
          <w:tcPr>
            <w:tcW w:w="2126" w:type="dxa"/>
            <w:vMerge w:val="restart"/>
            <w:tcBorders>
              <w:top w:val="nil"/>
              <w:left w:val="single" w:sz="8" w:space="0" w:color="auto"/>
              <w:bottom w:val="single" w:sz="8" w:space="0" w:color="000000"/>
              <w:right w:val="nil"/>
            </w:tcBorders>
            <w:shd w:val="clear" w:color="000000" w:fill="FFFFFF"/>
            <w:noWrap/>
            <w:vAlign w:val="center"/>
            <w:hideMark/>
          </w:tcPr>
          <w:p w14:paraId="6EC430B8" w14:textId="69662F5B" w:rsidR="003476B5" w:rsidRPr="00464454" w:rsidRDefault="003476B5" w:rsidP="00642DC1">
            <w:pPr>
              <w:rPr>
                <w:rFonts w:ascii="Arial" w:hAnsi="Arial" w:cs="Arial"/>
                <w:b/>
                <w:bCs/>
                <w:color w:val="000000"/>
                <w:sz w:val="22"/>
                <w:szCs w:val="22"/>
                <w:lang w:val="en-GB" w:eastAsia="en-GB"/>
              </w:rPr>
            </w:pPr>
            <w:r w:rsidRPr="00464454">
              <w:rPr>
                <w:rFonts w:ascii="Arial" w:hAnsi="Arial" w:cs="Arial"/>
                <w:b/>
                <w:bCs/>
                <w:color w:val="000000"/>
                <w:sz w:val="22"/>
                <w:szCs w:val="22"/>
                <w:lang w:val="en-GB" w:eastAsia="en-GB"/>
              </w:rPr>
              <w:t>TOTAL</w:t>
            </w:r>
            <w:r w:rsidR="00434E21" w:rsidRPr="00464454">
              <w:rPr>
                <w:rFonts w:ascii="Arial" w:hAnsi="Arial" w:cs="Arial"/>
                <w:b/>
                <w:bCs/>
                <w:color w:val="000000"/>
                <w:sz w:val="22"/>
                <w:szCs w:val="22"/>
                <w:lang w:val="en-GB" w:eastAsia="en-GB"/>
              </w:rPr>
              <w:t>***</w:t>
            </w:r>
          </w:p>
        </w:tc>
        <w:tc>
          <w:tcPr>
            <w:tcW w:w="2127" w:type="dxa"/>
            <w:tcBorders>
              <w:top w:val="nil"/>
              <w:left w:val="nil"/>
              <w:bottom w:val="nil"/>
              <w:right w:val="nil"/>
            </w:tcBorders>
            <w:shd w:val="clear" w:color="000000" w:fill="FFFFFF"/>
            <w:noWrap/>
            <w:vAlign w:val="center"/>
            <w:hideMark/>
          </w:tcPr>
          <w:p w14:paraId="778DF7E1" w14:textId="40F3D7A6" w:rsidR="003476B5" w:rsidRPr="00464454" w:rsidRDefault="003476B5" w:rsidP="00642DC1">
            <w:pPr>
              <w:rPr>
                <w:rFonts w:ascii="Arial" w:hAnsi="Arial" w:cs="Arial"/>
                <w:b/>
                <w:bCs/>
                <w:color w:val="000000"/>
                <w:sz w:val="22"/>
                <w:szCs w:val="22"/>
                <w:lang w:val="en-GB" w:eastAsia="en-GB"/>
              </w:rPr>
            </w:pPr>
          </w:p>
        </w:tc>
        <w:tc>
          <w:tcPr>
            <w:tcW w:w="1842" w:type="dxa"/>
            <w:vMerge w:val="restart"/>
            <w:tcBorders>
              <w:top w:val="nil"/>
              <w:left w:val="nil"/>
              <w:bottom w:val="single" w:sz="8" w:space="0" w:color="000000"/>
              <w:right w:val="nil"/>
            </w:tcBorders>
            <w:shd w:val="clear" w:color="000000" w:fill="FFFFFF"/>
            <w:noWrap/>
            <w:vAlign w:val="center"/>
            <w:hideMark/>
          </w:tcPr>
          <w:p w14:paraId="1C6B6874" w14:textId="77777777" w:rsidR="003476B5" w:rsidRPr="00464454" w:rsidRDefault="003476B5">
            <w:pPr>
              <w:jc w:val="center"/>
              <w:rPr>
                <w:rFonts w:ascii="Arial" w:hAnsi="Arial" w:cs="Arial"/>
                <w:b/>
                <w:bCs/>
                <w:color w:val="000000"/>
                <w:sz w:val="22"/>
                <w:szCs w:val="22"/>
                <w:lang w:val="en-GB" w:eastAsia="en-GB"/>
              </w:rPr>
            </w:pPr>
            <w:r w:rsidRPr="00464454">
              <w:rPr>
                <w:rFonts w:ascii="Arial" w:hAnsi="Arial" w:cs="Arial"/>
                <w:b/>
                <w:bCs/>
                <w:color w:val="000000"/>
                <w:sz w:val="22"/>
                <w:szCs w:val="22"/>
                <w:lang w:val="en-GB" w:eastAsia="en-GB"/>
              </w:rPr>
              <w:t>100.0</w:t>
            </w:r>
          </w:p>
        </w:tc>
        <w:tc>
          <w:tcPr>
            <w:tcW w:w="1843" w:type="dxa"/>
            <w:vMerge w:val="restart"/>
            <w:tcBorders>
              <w:top w:val="nil"/>
              <w:left w:val="nil"/>
              <w:right w:val="single" w:sz="8" w:space="0" w:color="auto"/>
            </w:tcBorders>
            <w:shd w:val="clear" w:color="000000" w:fill="FFFFFF"/>
            <w:noWrap/>
            <w:vAlign w:val="center"/>
            <w:hideMark/>
          </w:tcPr>
          <w:p w14:paraId="7170DCAC" w14:textId="65A4DB70" w:rsidR="003476B5" w:rsidRPr="00464454" w:rsidRDefault="003476B5" w:rsidP="001F5054">
            <w:pPr>
              <w:rPr>
                <w:rFonts w:ascii="Arial" w:hAnsi="Arial" w:cs="Arial"/>
                <w:color w:val="000000"/>
                <w:sz w:val="20"/>
                <w:lang w:val="en-GB" w:eastAsia="en-GB"/>
              </w:rPr>
            </w:pPr>
          </w:p>
          <w:p w14:paraId="5F92EB67" w14:textId="11CEB3AA" w:rsidR="003476B5" w:rsidRPr="00464454" w:rsidRDefault="003476B5">
            <w:pPr>
              <w:jc w:val="center"/>
              <w:rPr>
                <w:rFonts w:ascii="Arial" w:hAnsi="Arial" w:cs="Arial"/>
                <w:color w:val="000000"/>
                <w:sz w:val="20"/>
                <w:lang w:val="en-GB" w:eastAsia="en-GB"/>
              </w:rPr>
            </w:pPr>
            <w:r w:rsidRPr="00464454">
              <w:rPr>
                <w:rFonts w:ascii="Arial" w:hAnsi="Arial" w:cs="Arial"/>
                <w:color w:val="000000"/>
                <w:sz w:val="20"/>
                <w:lang w:val="en-GB" w:eastAsia="en-GB"/>
              </w:rPr>
              <w:t> </w:t>
            </w:r>
          </w:p>
        </w:tc>
      </w:tr>
      <w:tr w:rsidR="003476B5" w:rsidRPr="00464454" w14:paraId="251B7F77" w14:textId="77777777" w:rsidTr="00642DC1">
        <w:trPr>
          <w:trHeight w:val="60"/>
        </w:trPr>
        <w:tc>
          <w:tcPr>
            <w:tcW w:w="2126" w:type="dxa"/>
            <w:vMerge/>
            <w:tcBorders>
              <w:top w:val="nil"/>
              <w:left w:val="single" w:sz="8" w:space="0" w:color="auto"/>
              <w:bottom w:val="single" w:sz="8" w:space="0" w:color="000000"/>
              <w:right w:val="nil"/>
            </w:tcBorders>
            <w:vAlign w:val="center"/>
            <w:hideMark/>
          </w:tcPr>
          <w:p w14:paraId="6142A4FE" w14:textId="77777777" w:rsidR="003476B5" w:rsidRPr="00464454" w:rsidRDefault="003476B5" w:rsidP="008E4307">
            <w:pPr>
              <w:rPr>
                <w:rFonts w:ascii="Arial" w:hAnsi="Arial" w:cs="Arial"/>
                <w:b/>
                <w:bCs/>
                <w:color w:val="000000"/>
                <w:sz w:val="22"/>
                <w:szCs w:val="22"/>
                <w:lang w:val="en-GB" w:eastAsia="en-GB"/>
              </w:rPr>
            </w:pPr>
          </w:p>
        </w:tc>
        <w:tc>
          <w:tcPr>
            <w:tcW w:w="2127" w:type="dxa"/>
            <w:tcBorders>
              <w:top w:val="nil"/>
              <w:left w:val="nil"/>
              <w:bottom w:val="single" w:sz="8" w:space="0" w:color="auto"/>
              <w:right w:val="nil"/>
            </w:tcBorders>
            <w:shd w:val="clear" w:color="000000" w:fill="FFFFFF"/>
            <w:noWrap/>
            <w:vAlign w:val="center"/>
            <w:hideMark/>
          </w:tcPr>
          <w:p w14:paraId="54C09A96" w14:textId="00833341" w:rsidR="003476B5" w:rsidRPr="00464454" w:rsidRDefault="003476B5" w:rsidP="00642DC1">
            <w:pPr>
              <w:rPr>
                <w:rFonts w:ascii="Arial" w:hAnsi="Arial" w:cs="Arial"/>
                <w:color w:val="000000"/>
                <w:sz w:val="20"/>
                <w:lang w:val="en-GB" w:eastAsia="en-GB"/>
              </w:rPr>
            </w:pPr>
          </w:p>
        </w:tc>
        <w:tc>
          <w:tcPr>
            <w:tcW w:w="1842" w:type="dxa"/>
            <w:vMerge/>
            <w:tcBorders>
              <w:top w:val="nil"/>
              <w:left w:val="nil"/>
              <w:bottom w:val="single" w:sz="8" w:space="0" w:color="000000"/>
              <w:right w:val="nil"/>
            </w:tcBorders>
            <w:vAlign w:val="center"/>
            <w:hideMark/>
          </w:tcPr>
          <w:p w14:paraId="7BF73F0F" w14:textId="77777777" w:rsidR="003476B5" w:rsidRPr="00464454" w:rsidRDefault="003476B5" w:rsidP="008E4307">
            <w:pPr>
              <w:rPr>
                <w:rFonts w:ascii="Arial" w:hAnsi="Arial" w:cs="Arial"/>
                <w:b/>
                <w:bCs/>
                <w:color w:val="000000"/>
                <w:sz w:val="20"/>
                <w:lang w:val="en-GB" w:eastAsia="en-GB"/>
              </w:rPr>
            </w:pPr>
          </w:p>
        </w:tc>
        <w:tc>
          <w:tcPr>
            <w:tcW w:w="1843" w:type="dxa"/>
            <w:vMerge/>
            <w:tcBorders>
              <w:left w:val="nil"/>
              <w:bottom w:val="single" w:sz="8" w:space="0" w:color="auto"/>
              <w:right w:val="single" w:sz="8" w:space="0" w:color="auto"/>
            </w:tcBorders>
            <w:shd w:val="clear" w:color="000000" w:fill="FFFFFF"/>
            <w:noWrap/>
            <w:vAlign w:val="center"/>
            <w:hideMark/>
          </w:tcPr>
          <w:p w14:paraId="573B2918" w14:textId="263C46B2" w:rsidR="003476B5" w:rsidRPr="00464454" w:rsidRDefault="003476B5" w:rsidP="008E4307">
            <w:pPr>
              <w:jc w:val="center"/>
              <w:rPr>
                <w:rFonts w:ascii="Arial" w:hAnsi="Arial" w:cs="Arial"/>
                <w:color w:val="000000"/>
                <w:sz w:val="20"/>
                <w:lang w:val="en-GB" w:eastAsia="en-GB"/>
              </w:rPr>
            </w:pPr>
          </w:p>
        </w:tc>
      </w:tr>
    </w:tbl>
    <w:p w14:paraId="34EFB7B7" w14:textId="7F44A243" w:rsidR="00B81A34" w:rsidRPr="00464454" w:rsidRDefault="00B81A34" w:rsidP="00B81A34">
      <w:pPr>
        <w:pStyle w:val="BodyTextIndent2"/>
        <w:tabs>
          <w:tab w:val="left" w:pos="567"/>
        </w:tabs>
        <w:ind w:left="567"/>
        <w:rPr>
          <w:sz w:val="20"/>
          <w:szCs w:val="16"/>
          <w:lang w:val="en-GB"/>
        </w:rPr>
      </w:pPr>
      <w:r w:rsidRPr="00464454">
        <w:rPr>
          <w:sz w:val="20"/>
          <w:szCs w:val="16"/>
          <w:lang w:val="en-GB"/>
        </w:rPr>
        <w:tab/>
      </w:r>
      <w:r w:rsidRPr="000027F1">
        <w:rPr>
          <w:sz w:val="20"/>
          <w:szCs w:val="16"/>
          <w:lang w:val="en-GB"/>
        </w:rPr>
        <w:t>.</w:t>
      </w:r>
    </w:p>
    <w:p w14:paraId="7A444F7C" w14:textId="77777777" w:rsidR="00434E21" w:rsidRPr="00464454" w:rsidRDefault="00B81A34" w:rsidP="00642DC1">
      <w:pPr>
        <w:pStyle w:val="BodyTextIndent2"/>
        <w:tabs>
          <w:tab w:val="left" w:pos="567"/>
        </w:tabs>
        <w:ind w:left="567"/>
        <w:rPr>
          <w:sz w:val="20"/>
          <w:szCs w:val="16"/>
          <w:lang w:val="en-GB"/>
        </w:rPr>
      </w:pPr>
      <w:r w:rsidRPr="00464454">
        <w:rPr>
          <w:sz w:val="20"/>
          <w:szCs w:val="16"/>
          <w:lang w:val="en-GB"/>
        </w:rPr>
        <w:tab/>
        <w:t>** note that the Fund has a residual allocation to Private Equity, which is winding down.</w:t>
      </w:r>
    </w:p>
    <w:p w14:paraId="36E534F2" w14:textId="47C66FE2" w:rsidR="00536ECD" w:rsidRDefault="00434E21" w:rsidP="000027F1">
      <w:pPr>
        <w:pStyle w:val="BodyTextIndent2"/>
        <w:tabs>
          <w:tab w:val="left" w:pos="567"/>
        </w:tabs>
        <w:ind w:left="567"/>
        <w:rPr>
          <w:color w:val="000000"/>
          <w:lang w:val="en-GB"/>
        </w:rPr>
      </w:pPr>
      <w:r w:rsidRPr="00464454">
        <w:rPr>
          <w:sz w:val="20"/>
          <w:szCs w:val="16"/>
          <w:lang w:val="en-GB"/>
        </w:rPr>
        <w:tab/>
        <w:t>*** the Fund may also hold an allocation to Cash. This is generally held for liquidity purposes, including waiting for drawdowns in respect of illiquid assets</w:t>
      </w:r>
      <w:r w:rsidR="006C6CEF">
        <w:rPr>
          <w:sz w:val="20"/>
          <w:szCs w:val="16"/>
          <w:lang w:val="en-GB"/>
        </w:rPr>
        <w:t>.</w:t>
      </w:r>
      <w:r w:rsidR="00536ECD">
        <w:rPr>
          <w:lang w:val="en-GB"/>
        </w:rPr>
        <w:br w:type="page"/>
      </w:r>
    </w:p>
    <w:p w14:paraId="7F98A4B5" w14:textId="77777777" w:rsidR="00891263" w:rsidRPr="000027F1" w:rsidRDefault="006C6CEF"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0027F1">
        <w:rPr>
          <w:rFonts w:ascii="Arial" w:hAnsi="Arial" w:cs="Arial"/>
          <w:color w:val="000000"/>
          <w:szCs w:val="24"/>
          <w:lang w:val="en-GB" w:eastAsia="en-GB"/>
        </w:rPr>
        <w:lastRenderedPageBreak/>
        <w:t xml:space="preserve">The Committee reviewed the investment strategy in 2023, following the 2022 </w:t>
      </w:r>
      <w:r w:rsidR="00764485" w:rsidRPr="000027F1">
        <w:rPr>
          <w:rFonts w:ascii="Arial" w:hAnsi="Arial" w:cs="Arial"/>
          <w:color w:val="000000"/>
          <w:szCs w:val="24"/>
          <w:lang w:val="en-GB" w:eastAsia="en-GB"/>
        </w:rPr>
        <w:t xml:space="preserve">triennial Actuarial Valuation, which following advice from Aon, led to the </w:t>
      </w:r>
      <w:r w:rsidR="00891263" w:rsidRPr="000027F1">
        <w:rPr>
          <w:rFonts w:ascii="Arial" w:hAnsi="Arial" w:cs="Arial"/>
          <w:color w:val="000000"/>
          <w:szCs w:val="24"/>
          <w:lang w:val="en-GB" w:eastAsia="en-GB"/>
        </w:rPr>
        <w:t>replacement of the Diversified Growth Fund with Asset-Backed Securities.</w:t>
      </w:r>
    </w:p>
    <w:p w14:paraId="6002C39E" w14:textId="09C90384" w:rsidR="006C6CEF" w:rsidRPr="000027F1" w:rsidRDefault="00891263" w:rsidP="000027F1">
      <w:pPr>
        <w:autoSpaceDE w:val="0"/>
        <w:autoSpaceDN w:val="0"/>
        <w:adjustRightInd w:val="0"/>
        <w:jc w:val="both"/>
        <w:rPr>
          <w:iCs/>
          <w:color w:val="000000"/>
          <w:szCs w:val="24"/>
          <w:lang w:eastAsia="en-GB"/>
        </w:rPr>
      </w:pPr>
      <w:r>
        <w:rPr>
          <w:iCs/>
          <w:color w:val="000000"/>
          <w:szCs w:val="24"/>
          <w:lang w:eastAsia="en-GB"/>
        </w:rPr>
        <w:t xml:space="preserve"> </w:t>
      </w:r>
    </w:p>
    <w:p w14:paraId="065465A6" w14:textId="522E9479" w:rsidR="003F6F60" w:rsidRPr="00642DC1" w:rsidRDefault="003F6F60" w:rsidP="00642DC1">
      <w:pPr>
        <w:numPr>
          <w:ilvl w:val="1"/>
          <w:numId w:val="32"/>
        </w:numPr>
        <w:autoSpaceDE w:val="0"/>
        <w:autoSpaceDN w:val="0"/>
        <w:adjustRightInd w:val="0"/>
        <w:ind w:left="709" w:hanging="709"/>
        <w:jc w:val="both"/>
        <w:rPr>
          <w:iCs/>
          <w:color w:val="000000"/>
          <w:szCs w:val="24"/>
          <w:lang w:eastAsia="en-GB"/>
        </w:rPr>
      </w:pPr>
      <w:r w:rsidRPr="00642DC1">
        <w:rPr>
          <w:rFonts w:ascii="Arial" w:hAnsi="Arial" w:cs="Arial"/>
          <w:color w:val="000000"/>
          <w:szCs w:val="24"/>
          <w:lang w:val="en-GB" w:eastAsia="en-GB"/>
        </w:rPr>
        <w:t>The Committee monitors investment strategy on an ongoing basis, focusing on factors including, but not limited to:</w:t>
      </w:r>
    </w:p>
    <w:p w14:paraId="6ECC570F" w14:textId="77777777" w:rsidR="003F6F60" w:rsidRPr="001F4FE1" w:rsidRDefault="003F6F60" w:rsidP="004B5F6A">
      <w:pPr>
        <w:pStyle w:val="BodyTextIndent2"/>
        <w:numPr>
          <w:ilvl w:val="0"/>
          <w:numId w:val="19"/>
        </w:numPr>
        <w:tabs>
          <w:tab w:val="left" w:pos="567"/>
          <w:tab w:val="left" w:pos="1701"/>
        </w:tabs>
        <w:ind w:left="1701" w:hanging="567"/>
        <w:jc w:val="both"/>
        <w:rPr>
          <w:szCs w:val="24"/>
        </w:rPr>
      </w:pPr>
      <w:r w:rsidRPr="001F4FE1">
        <w:rPr>
          <w:szCs w:val="24"/>
        </w:rPr>
        <w:t xml:space="preserve">Suitability </w:t>
      </w:r>
      <w:r w:rsidR="00CF2316" w:rsidRPr="001F4FE1">
        <w:rPr>
          <w:szCs w:val="24"/>
        </w:rPr>
        <w:t>and diversification</w:t>
      </w:r>
      <w:r w:rsidR="009E0A5B" w:rsidRPr="001F4FE1">
        <w:rPr>
          <w:szCs w:val="24"/>
        </w:rPr>
        <w:t xml:space="preserve"> </w:t>
      </w:r>
      <w:r w:rsidRPr="001F4FE1">
        <w:rPr>
          <w:szCs w:val="24"/>
        </w:rPr>
        <w:t>given the Fund’s</w:t>
      </w:r>
      <w:r w:rsidR="00EB22D4" w:rsidRPr="001F4FE1">
        <w:rPr>
          <w:szCs w:val="24"/>
        </w:rPr>
        <w:t xml:space="preserve"> level of funding and liability </w:t>
      </w:r>
      <w:r w:rsidRPr="001F4FE1">
        <w:rPr>
          <w:szCs w:val="24"/>
        </w:rPr>
        <w:t>profile</w:t>
      </w:r>
    </w:p>
    <w:p w14:paraId="3034DEC6" w14:textId="77777777" w:rsidR="003F6F60" w:rsidRPr="001F4FE1" w:rsidRDefault="003F6F60" w:rsidP="004B5F6A">
      <w:pPr>
        <w:pStyle w:val="BodyTextIndent2"/>
        <w:numPr>
          <w:ilvl w:val="0"/>
          <w:numId w:val="19"/>
        </w:numPr>
        <w:tabs>
          <w:tab w:val="left" w:pos="567"/>
          <w:tab w:val="left" w:pos="1701"/>
        </w:tabs>
        <w:ind w:left="1701" w:hanging="567"/>
        <w:jc w:val="both"/>
        <w:rPr>
          <w:szCs w:val="24"/>
        </w:rPr>
      </w:pPr>
      <w:r w:rsidRPr="001F4FE1">
        <w:rPr>
          <w:szCs w:val="24"/>
        </w:rPr>
        <w:t>The level of expected risk</w:t>
      </w:r>
    </w:p>
    <w:p w14:paraId="77532360" w14:textId="77777777" w:rsidR="003F6F60" w:rsidRPr="001F4FE1" w:rsidRDefault="003F6F60" w:rsidP="004B5F6A">
      <w:pPr>
        <w:pStyle w:val="BodyTextIndent2"/>
        <w:numPr>
          <w:ilvl w:val="0"/>
          <w:numId w:val="19"/>
        </w:numPr>
        <w:tabs>
          <w:tab w:val="left" w:pos="567"/>
          <w:tab w:val="left" w:pos="1701"/>
        </w:tabs>
        <w:ind w:left="1701" w:hanging="567"/>
        <w:jc w:val="both"/>
        <w:rPr>
          <w:szCs w:val="24"/>
        </w:rPr>
      </w:pPr>
      <w:r w:rsidRPr="001F4FE1">
        <w:rPr>
          <w:szCs w:val="24"/>
        </w:rPr>
        <w:t>Outlook for asset returns</w:t>
      </w:r>
    </w:p>
    <w:p w14:paraId="4B8104B9" w14:textId="77777777" w:rsidR="00F11EA9" w:rsidRPr="001F4FE1" w:rsidRDefault="00F11EA9" w:rsidP="001C5277">
      <w:pPr>
        <w:pStyle w:val="BodyTextIndent2"/>
        <w:tabs>
          <w:tab w:val="left" w:pos="567"/>
          <w:tab w:val="left" w:pos="1701"/>
        </w:tabs>
        <w:jc w:val="both"/>
        <w:rPr>
          <w:szCs w:val="24"/>
        </w:rPr>
      </w:pPr>
    </w:p>
    <w:p w14:paraId="2F9F07F2" w14:textId="30C17E8C" w:rsidR="003F6F60" w:rsidRPr="00642DC1" w:rsidRDefault="003F6F60"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The Committee also monitors the Fund’s actual allocation on a regular basis to ensure it does not deviate from </w:t>
      </w:r>
      <w:r w:rsidR="00C2613B" w:rsidRPr="00642DC1">
        <w:rPr>
          <w:rFonts w:ascii="Arial" w:hAnsi="Arial" w:cs="Arial"/>
          <w:color w:val="000000"/>
          <w:szCs w:val="24"/>
          <w:lang w:val="en-GB" w:eastAsia="en-GB"/>
        </w:rPr>
        <w:t>within the</w:t>
      </w:r>
      <w:r w:rsidRPr="00642DC1">
        <w:rPr>
          <w:rFonts w:ascii="Arial" w:hAnsi="Arial" w:cs="Arial"/>
          <w:color w:val="000000"/>
          <w:szCs w:val="24"/>
          <w:lang w:val="en-GB" w:eastAsia="en-GB"/>
        </w:rPr>
        <w:t xml:space="preserve"> target </w:t>
      </w:r>
      <w:r w:rsidR="00C2613B" w:rsidRPr="00642DC1">
        <w:rPr>
          <w:rFonts w:ascii="Arial" w:hAnsi="Arial" w:cs="Arial"/>
          <w:color w:val="000000"/>
          <w:szCs w:val="24"/>
          <w:lang w:val="en-GB" w:eastAsia="en-GB"/>
        </w:rPr>
        <w:t>range</w:t>
      </w:r>
      <w:r w:rsidRPr="00642DC1">
        <w:rPr>
          <w:rFonts w:ascii="Arial" w:hAnsi="Arial" w:cs="Arial"/>
          <w:color w:val="000000"/>
          <w:szCs w:val="24"/>
          <w:lang w:val="en-GB" w:eastAsia="en-GB"/>
        </w:rPr>
        <w:t xml:space="preserve">. </w:t>
      </w:r>
      <w:r w:rsidR="0025562D" w:rsidRPr="00642DC1">
        <w:rPr>
          <w:rFonts w:ascii="Arial" w:hAnsi="Arial" w:cs="Arial"/>
          <w:color w:val="000000"/>
          <w:szCs w:val="24"/>
          <w:lang w:val="en-GB" w:eastAsia="en-GB"/>
        </w:rPr>
        <w:t>If such a deviation occurs, except for closed ended investments (e.g. private equity and infrastructure) which are subject to distributions and drawdowns, a re-balancing exercise is carried out</w:t>
      </w:r>
      <w:r w:rsidRPr="00642DC1">
        <w:rPr>
          <w:rFonts w:ascii="Arial" w:hAnsi="Arial" w:cs="Arial"/>
          <w:color w:val="000000"/>
          <w:szCs w:val="24"/>
          <w:lang w:val="en-GB" w:eastAsia="en-GB"/>
        </w:rPr>
        <w:t>.</w:t>
      </w:r>
      <w:r w:rsidR="004B0542" w:rsidRPr="00642DC1">
        <w:rPr>
          <w:rFonts w:ascii="Arial" w:hAnsi="Arial" w:cs="Arial"/>
          <w:color w:val="000000"/>
          <w:szCs w:val="24"/>
          <w:lang w:val="en-GB" w:eastAsia="en-GB"/>
        </w:rPr>
        <w:t xml:space="preserve"> If necessary the Section 151 officer has delegated authority to undertake rebalancing but any such rebalancing activity is reported to the next meeting of the Committee.  </w:t>
      </w:r>
    </w:p>
    <w:p w14:paraId="0300A77C" w14:textId="77777777" w:rsidR="003F6F60" w:rsidRPr="00642DC1" w:rsidRDefault="003F6F60" w:rsidP="00642DC1">
      <w:pPr>
        <w:autoSpaceDE w:val="0"/>
        <w:autoSpaceDN w:val="0"/>
        <w:adjustRightInd w:val="0"/>
        <w:ind w:left="709"/>
        <w:jc w:val="both"/>
        <w:rPr>
          <w:color w:val="000000"/>
          <w:szCs w:val="24"/>
          <w:lang w:val="en-GB" w:eastAsia="en-GB"/>
        </w:rPr>
      </w:pPr>
    </w:p>
    <w:p w14:paraId="4B25E7FC" w14:textId="68C9C1D3" w:rsidR="00AB362E" w:rsidRPr="00642DC1" w:rsidRDefault="00AB362E" w:rsidP="00642DC1">
      <w:pPr>
        <w:numPr>
          <w:ilvl w:val="1"/>
          <w:numId w:val="32"/>
        </w:numPr>
        <w:autoSpaceDE w:val="0"/>
        <w:autoSpaceDN w:val="0"/>
        <w:adjustRightInd w:val="0"/>
        <w:ind w:left="709" w:hanging="709"/>
        <w:jc w:val="both"/>
        <w:rPr>
          <w:color w:val="000000"/>
          <w:szCs w:val="24"/>
          <w:lang w:eastAsia="en-GB"/>
        </w:rPr>
      </w:pPr>
      <w:r w:rsidRPr="00642DC1">
        <w:rPr>
          <w:rFonts w:ascii="Arial" w:hAnsi="Arial" w:cs="Arial"/>
          <w:color w:val="000000"/>
          <w:szCs w:val="24"/>
          <w:lang w:val="en-GB" w:eastAsia="en-GB"/>
        </w:rPr>
        <w:t>It is intended that the Fund’s investment strategy will be reviewed at least every three years, following actuarial valuations of the Fund.  The investment strategy review will typically involve the Committee, in conjunction with its advisers, undertaking an in-depth Asset Liability Modelling exercise to understand the risks within the Fund's current investment strategy and establish other potentially suitable investment strategies for the Fund in the future.</w:t>
      </w:r>
    </w:p>
    <w:p w14:paraId="08418146" w14:textId="77777777" w:rsidR="00274838" w:rsidRPr="00642DC1" w:rsidRDefault="00274838" w:rsidP="00642DC1">
      <w:pPr>
        <w:autoSpaceDE w:val="0"/>
        <w:autoSpaceDN w:val="0"/>
        <w:adjustRightInd w:val="0"/>
        <w:ind w:left="709"/>
        <w:jc w:val="both"/>
        <w:rPr>
          <w:rFonts w:ascii="Arial" w:hAnsi="Arial" w:cs="Arial"/>
          <w:szCs w:val="24"/>
          <w:lang w:val="en-GB" w:eastAsia="en-GB"/>
        </w:rPr>
      </w:pPr>
    </w:p>
    <w:p w14:paraId="59485647" w14:textId="5432F89E" w:rsidR="00A63429" w:rsidRPr="000027F1" w:rsidRDefault="00E54F68" w:rsidP="00642DC1">
      <w:pPr>
        <w:numPr>
          <w:ilvl w:val="1"/>
          <w:numId w:val="32"/>
        </w:numPr>
        <w:autoSpaceDE w:val="0"/>
        <w:autoSpaceDN w:val="0"/>
        <w:adjustRightInd w:val="0"/>
        <w:spacing w:after="120"/>
        <w:ind w:left="709" w:hanging="709"/>
        <w:jc w:val="both"/>
        <w:rPr>
          <w:color w:val="000000"/>
          <w:szCs w:val="24"/>
          <w:lang w:eastAsia="en-GB"/>
        </w:rPr>
      </w:pPr>
      <w:r w:rsidRPr="000027F1">
        <w:rPr>
          <w:rFonts w:ascii="Arial" w:hAnsi="Arial" w:cs="Arial"/>
          <w:color w:val="000000"/>
          <w:szCs w:val="24"/>
          <w:lang w:val="en-GB" w:eastAsia="en-GB"/>
        </w:rPr>
        <w:t>The table below shows the 10 year expected returns</w:t>
      </w:r>
      <w:r w:rsidR="0016598B" w:rsidRPr="000027F1">
        <w:rPr>
          <w:rFonts w:ascii="Arial" w:hAnsi="Arial" w:cs="Arial"/>
          <w:color w:val="000000"/>
          <w:szCs w:val="24"/>
          <w:lang w:val="en-GB" w:eastAsia="en-GB"/>
        </w:rPr>
        <w:t xml:space="preserve"> and </w:t>
      </w:r>
      <w:r w:rsidRPr="000027F1">
        <w:rPr>
          <w:rFonts w:ascii="Arial" w:hAnsi="Arial" w:cs="Arial"/>
          <w:color w:val="000000"/>
          <w:szCs w:val="24"/>
          <w:lang w:val="en-GB" w:eastAsia="en-GB"/>
        </w:rPr>
        <w:t xml:space="preserve">volatilities for the asset classes modelled as part of the investment strategy review (data as at 31 March </w:t>
      </w:r>
      <w:r w:rsidR="0016598B" w:rsidRPr="000027F1">
        <w:rPr>
          <w:rFonts w:ascii="Arial" w:hAnsi="Arial" w:cs="Arial"/>
          <w:color w:val="000000"/>
          <w:szCs w:val="24"/>
          <w:lang w:val="en-GB" w:eastAsia="en-GB"/>
        </w:rPr>
        <w:t>20</w:t>
      </w:r>
      <w:r w:rsidR="00891263" w:rsidRPr="000027F1">
        <w:rPr>
          <w:rFonts w:ascii="Arial" w:hAnsi="Arial" w:cs="Arial"/>
          <w:color w:val="000000"/>
          <w:szCs w:val="24"/>
          <w:lang w:val="en-GB" w:eastAsia="en-GB"/>
        </w:rPr>
        <w:t>23</w:t>
      </w:r>
      <w:r w:rsidRPr="000027F1">
        <w:rPr>
          <w:rFonts w:ascii="Arial" w:hAnsi="Arial" w:cs="Arial"/>
          <w:color w:val="000000"/>
          <w:szCs w:val="24"/>
          <w:lang w:val="en-GB" w:eastAsia="en-GB"/>
        </w:rPr>
        <w:t>):</w:t>
      </w:r>
    </w:p>
    <w:tbl>
      <w:tblPr>
        <w:tblW w:w="8259" w:type="dxa"/>
        <w:tblInd w:w="961" w:type="dxa"/>
        <w:tblBorders>
          <w:insideH w:val="single" w:sz="4" w:space="0" w:color="808080"/>
        </w:tblBorders>
        <w:tblLayout w:type="fixed"/>
        <w:tblCellMar>
          <w:left w:w="110" w:type="dxa"/>
          <w:right w:w="110" w:type="dxa"/>
        </w:tblCellMar>
        <w:tblLook w:val="0000" w:firstRow="0" w:lastRow="0" w:firstColumn="0" w:lastColumn="0" w:noHBand="0" w:noVBand="0"/>
      </w:tblPr>
      <w:tblGrid>
        <w:gridCol w:w="3544"/>
        <w:gridCol w:w="2268"/>
        <w:gridCol w:w="2447"/>
      </w:tblGrid>
      <w:tr w:rsidR="00A63429" w:rsidRPr="006F2907" w14:paraId="51F9F90F" w14:textId="77777777" w:rsidTr="00642DC1">
        <w:tc>
          <w:tcPr>
            <w:tcW w:w="3544" w:type="dxa"/>
            <w:shd w:val="clear" w:color="auto" w:fill="auto"/>
          </w:tcPr>
          <w:p w14:paraId="4722C12D" w14:textId="77777777" w:rsidR="00A63429" w:rsidRPr="000027F1" w:rsidRDefault="00A63429" w:rsidP="00E9572D">
            <w:pPr>
              <w:pStyle w:val="TableHeader"/>
            </w:pPr>
            <w:r w:rsidRPr="000027F1">
              <w:t>Asset Class</w:t>
            </w:r>
          </w:p>
        </w:tc>
        <w:tc>
          <w:tcPr>
            <w:tcW w:w="2268" w:type="dxa"/>
            <w:shd w:val="clear" w:color="auto" w:fill="auto"/>
          </w:tcPr>
          <w:p w14:paraId="5CD914FA" w14:textId="2A8161D0" w:rsidR="00A63429" w:rsidRPr="000027F1" w:rsidRDefault="006F2907">
            <w:pPr>
              <w:pStyle w:val="TableColumnHead"/>
            </w:pPr>
            <w:r>
              <w:t>Expected</w:t>
            </w:r>
            <w:r w:rsidR="00A63429" w:rsidRPr="000027F1">
              <w:t xml:space="preserve"> Returns</w:t>
            </w:r>
            <w:r>
              <w:t xml:space="preserve"> (31 Mar 2023)</w:t>
            </w:r>
          </w:p>
        </w:tc>
        <w:tc>
          <w:tcPr>
            <w:tcW w:w="2447" w:type="dxa"/>
            <w:shd w:val="clear" w:color="auto" w:fill="auto"/>
          </w:tcPr>
          <w:p w14:paraId="0CEBED44" w14:textId="4546C3E2" w:rsidR="00A63429" w:rsidRPr="000027F1" w:rsidRDefault="006F2907">
            <w:pPr>
              <w:pStyle w:val="TableColumnHead"/>
            </w:pPr>
            <w:r>
              <w:t>Expected</w:t>
            </w:r>
            <w:r w:rsidR="00A63429" w:rsidRPr="000027F1">
              <w:t xml:space="preserve"> Volatility</w:t>
            </w:r>
            <w:r>
              <w:t xml:space="preserve"> (31 Mar 2023)</w:t>
            </w:r>
          </w:p>
        </w:tc>
      </w:tr>
      <w:tr w:rsidR="00A63429" w:rsidRPr="003D213D" w14:paraId="4280FDB3" w14:textId="77777777" w:rsidTr="00642DC1">
        <w:tc>
          <w:tcPr>
            <w:tcW w:w="3544" w:type="dxa"/>
            <w:shd w:val="clear" w:color="auto" w:fill="auto"/>
          </w:tcPr>
          <w:p w14:paraId="7DD4867E" w14:textId="46D59A2E" w:rsidR="00A63429" w:rsidRPr="000027F1" w:rsidRDefault="006F2907" w:rsidP="00E9572D">
            <w:pPr>
              <w:pStyle w:val="TableRowHead"/>
            </w:pPr>
            <w:r>
              <w:t>Global Equity (50% currency hedged)</w:t>
            </w:r>
          </w:p>
        </w:tc>
        <w:tc>
          <w:tcPr>
            <w:tcW w:w="2268" w:type="dxa"/>
            <w:shd w:val="clear" w:color="auto" w:fill="auto"/>
          </w:tcPr>
          <w:p w14:paraId="5D388C01" w14:textId="161AC0B3" w:rsidR="00A63429" w:rsidRPr="000027F1" w:rsidRDefault="006F2907" w:rsidP="00E9572D">
            <w:pPr>
              <w:pStyle w:val="Tablecopy"/>
            </w:pPr>
            <w:r>
              <w:t>7</w:t>
            </w:r>
            <w:r w:rsidR="00A63429" w:rsidRPr="000027F1">
              <w:t>.</w:t>
            </w:r>
            <w:r>
              <w:t>0</w:t>
            </w:r>
            <w:r w:rsidR="00A63429" w:rsidRPr="000027F1">
              <w:t>%</w:t>
            </w:r>
          </w:p>
        </w:tc>
        <w:tc>
          <w:tcPr>
            <w:tcW w:w="2447" w:type="dxa"/>
            <w:shd w:val="clear" w:color="auto" w:fill="auto"/>
          </w:tcPr>
          <w:p w14:paraId="5D5FE27F" w14:textId="320F29CD" w:rsidR="00A63429" w:rsidRPr="000027F1" w:rsidRDefault="006F2907" w:rsidP="00E9572D">
            <w:pPr>
              <w:pStyle w:val="Tablecopy"/>
            </w:pPr>
            <w:r>
              <w:t>17</w:t>
            </w:r>
            <w:r w:rsidR="00A63429" w:rsidRPr="000027F1">
              <w:t>.</w:t>
            </w:r>
            <w:r>
              <w:t>3</w:t>
            </w:r>
            <w:r w:rsidR="00A63429" w:rsidRPr="000027F1">
              <w:t>%</w:t>
            </w:r>
          </w:p>
        </w:tc>
      </w:tr>
      <w:tr w:rsidR="006F2907" w:rsidRPr="003D213D" w14:paraId="624ADBE7" w14:textId="77777777" w:rsidTr="00642DC1">
        <w:tc>
          <w:tcPr>
            <w:tcW w:w="3544" w:type="dxa"/>
            <w:shd w:val="clear" w:color="auto" w:fill="auto"/>
          </w:tcPr>
          <w:p w14:paraId="223E2A5E" w14:textId="13B76CF5" w:rsidR="006F2907" w:rsidRPr="000027F1" w:rsidRDefault="006F2907" w:rsidP="00E9572D">
            <w:pPr>
              <w:pStyle w:val="TableRowHead"/>
            </w:pPr>
            <w:r>
              <w:t>Emerging Market Equity</w:t>
            </w:r>
          </w:p>
        </w:tc>
        <w:tc>
          <w:tcPr>
            <w:tcW w:w="2268" w:type="dxa"/>
            <w:shd w:val="clear" w:color="auto" w:fill="auto"/>
          </w:tcPr>
          <w:p w14:paraId="45EC0B8D" w14:textId="45A055C9" w:rsidR="006F2907" w:rsidRPr="000027F1" w:rsidRDefault="006F2907" w:rsidP="00E9572D">
            <w:pPr>
              <w:pStyle w:val="Tablecopy"/>
            </w:pPr>
            <w:r>
              <w:t>7</w:t>
            </w:r>
            <w:r w:rsidRPr="000027F1">
              <w:t>.</w:t>
            </w:r>
            <w:r>
              <w:t>2</w:t>
            </w:r>
            <w:r w:rsidRPr="000027F1">
              <w:t>%</w:t>
            </w:r>
          </w:p>
        </w:tc>
        <w:tc>
          <w:tcPr>
            <w:tcW w:w="2447" w:type="dxa"/>
            <w:shd w:val="clear" w:color="auto" w:fill="auto"/>
          </w:tcPr>
          <w:p w14:paraId="0B8401EF" w14:textId="48463AA7" w:rsidR="006F2907" w:rsidRPr="000027F1" w:rsidRDefault="006F2907" w:rsidP="00E9572D">
            <w:pPr>
              <w:pStyle w:val="Tablecopy"/>
            </w:pPr>
            <w:r>
              <w:t>25.1%</w:t>
            </w:r>
          </w:p>
        </w:tc>
      </w:tr>
      <w:tr w:rsidR="006F2907" w:rsidRPr="003D213D" w14:paraId="26D70497" w14:textId="77777777" w:rsidTr="00642DC1">
        <w:tc>
          <w:tcPr>
            <w:tcW w:w="3544" w:type="dxa"/>
            <w:shd w:val="clear" w:color="auto" w:fill="auto"/>
          </w:tcPr>
          <w:p w14:paraId="05F0E85F" w14:textId="229B3308" w:rsidR="006F2907" w:rsidRPr="006F2907" w:rsidRDefault="006F2907" w:rsidP="00E9572D">
            <w:pPr>
              <w:pStyle w:val="TableRowHead"/>
            </w:pPr>
            <w:r>
              <w:t>Diversified Growth Fund</w:t>
            </w:r>
          </w:p>
        </w:tc>
        <w:tc>
          <w:tcPr>
            <w:tcW w:w="2268" w:type="dxa"/>
            <w:shd w:val="clear" w:color="auto" w:fill="auto"/>
          </w:tcPr>
          <w:p w14:paraId="060F282E" w14:textId="48C998B1" w:rsidR="006F2907" w:rsidRPr="006F2907" w:rsidRDefault="006F2907" w:rsidP="00E9572D">
            <w:pPr>
              <w:pStyle w:val="Tablecopy"/>
            </w:pPr>
            <w:r>
              <w:t>5.9%</w:t>
            </w:r>
          </w:p>
        </w:tc>
        <w:tc>
          <w:tcPr>
            <w:tcW w:w="2447" w:type="dxa"/>
            <w:shd w:val="clear" w:color="auto" w:fill="auto"/>
          </w:tcPr>
          <w:p w14:paraId="0E8531E0" w14:textId="6E0AFF94" w:rsidR="006F2907" w:rsidRDefault="006F2907" w:rsidP="00E9572D">
            <w:pPr>
              <w:pStyle w:val="Tablecopy"/>
            </w:pPr>
            <w:r>
              <w:t>8.9%</w:t>
            </w:r>
          </w:p>
        </w:tc>
      </w:tr>
      <w:tr w:rsidR="00A63429" w:rsidRPr="003D213D" w14:paraId="55B6F549" w14:textId="77777777" w:rsidTr="00642DC1">
        <w:tc>
          <w:tcPr>
            <w:tcW w:w="3544" w:type="dxa"/>
            <w:shd w:val="clear" w:color="auto" w:fill="auto"/>
          </w:tcPr>
          <w:p w14:paraId="69919484" w14:textId="0AC37A16" w:rsidR="00A63429" w:rsidRPr="000027F1" w:rsidRDefault="006F2907" w:rsidP="00E9572D">
            <w:pPr>
              <w:pStyle w:val="TableRowHead"/>
            </w:pPr>
            <w:r w:rsidRPr="000027F1">
              <w:t>Global Property</w:t>
            </w:r>
          </w:p>
        </w:tc>
        <w:tc>
          <w:tcPr>
            <w:tcW w:w="2268" w:type="dxa"/>
            <w:shd w:val="clear" w:color="auto" w:fill="auto"/>
          </w:tcPr>
          <w:p w14:paraId="10FB79A7" w14:textId="1D4098A5" w:rsidR="00A63429" w:rsidRPr="000027F1" w:rsidRDefault="006F2907" w:rsidP="00E9572D">
            <w:pPr>
              <w:pStyle w:val="Tablecopy"/>
            </w:pPr>
            <w:r w:rsidRPr="000027F1">
              <w:t>4</w:t>
            </w:r>
            <w:r w:rsidR="00A63429" w:rsidRPr="000027F1">
              <w:t>.</w:t>
            </w:r>
            <w:r w:rsidRPr="000027F1">
              <w:t>9</w:t>
            </w:r>
            <w:r w:rsidR="00A63429" w:rsidRPr="000027F1">
              <w:t>%</w:t>
            </w:r>
          </w:p>
        </w:tc>
        <w:tc>
          <w:tcPr>
            <w:tcW w:w="2447" w:type="dxa"/>
            <w:shd w:val="clear" w:color="auto" w:fill="auto"/>
          </w:tcPr>
          <w:p w14:paraId="1A76AC26" w14:textId="162907AB" w:rsidR="00A63429" w:rsidRPr="000027F1" w:rsidRDefault="00A63429" w:rsidP="00E9572D">
            <w:pPr>
              <w:pStyle w:val="Tablecopy"/>
            </w:pPr>
            <w:r w:rsidRPr="000027F1">
              <w:t>1</w:t>
            </w:r>
            <w:r w:rsidR="006F2907" w:rsidRPr="000027F1">
              <w:t>7</w:t>
            </w:r>
            <w:r w:rsidRPr="000027F1">
              <w:t>.</w:t>
            </w:r>
            <w:r w:rsidR="006F2907" w:rsidRPr="000027F1">
              <w:t>0</w:t>
            </w:r>
            <w:r w:rsidRPr="000027F1">
              <w:t>%</w:t>
            </w:r>
          </w:p>
        </w:tc>
      </w:tr>
      <w:tr w:rsidR="00A63429" w:rsidRPr="003D213D" w14:paraId="2606D201" w14:textId="77777777" w:rsidTr="00642DC1">
        <w:tc>
          <w:tcPr>
            <w:tcW w:w="3544" w:type="dxa"/>
            <w:shd w:val="clear" w:color="auto" w:fill="auto"/>
          </w:tcPr>
          <w:p w14:paraId="66ECD64C" w14:textId="3F17D59B" w:rsidR="00A63429" w:rsidRPr="000027F1" w:rsidRDefault="006F2907" w:rsidP="00E9572D">
            <w:pPr>
              <w:pStyle w:val="TableRowHead"/>
            </w:pPr>
            <w:r w:rsidRPr="000027F1">
              <w:t>Global Infrastructure</w:t>
            </w:r>
          </w:p>
        </w:tc>
        <w:tc>
          <w:tcPr>
            <w:tcW w:w="2268" w:type="dxa"/>
            <w:shd w:val="clear" w:color="auto" w:fill="auto"/>
          </w:tcPr>
          <w:p w14:paraId="26E60737" w14:textId="5F0EA51F" w:rsidR="00A63429" w:rsidRPr="000027F1" w:rsidRDefault="006F2907" w:rsidP="00E9572D">
            <w:pPr>
              <w:pStyle w:val="Tablecopy"/>
            </w:pPr>
            <w:r w:rsidRPr="000027F1">
              <w:t>7</w:t>
            </w:r>
            <w:r w:rsidR="00A63429" w:rsidRPr="000027F1">
              <w:t>.</w:t>
            </w:r>
            <w:r w:rsidRPr="000027F1">
              <w:t>9</w:t>
            </w:r>
            <w:r w:rsidR="00A63429" w:rsidRPr="000027F1">
              <w:t>%</w:t>
            </w:r>
          </w:p>
        </w:tc>
        <w:tc>
          <w:tcPr>
            <w:tcW w:w="2447" w:type="dxa"/>
            <w:shd w:val="clear" w:color="auto" w:fill="auto"/>
          </w:tcPr>
          <w:p w14:paraId="61AF8825" w14:textId="199BA455" w:rsidR="00A63429" w:rsidRPr="000027F1" w:rsidRDefault="006F2907" w:rsidP="00E9572D">
            <w:pPr>
              <w:pStyle w:val="Tablecopy"/>
            </w:pPr>
            <w:r w:rsidRPr="000027F1">
              <w:t>11</w:t>
            </w:r>
            <w:r w:rsidR="00A63429" w:rsidRPr="000027F1">
              <w:t>.</w:t>
            </w:r>
            <w:r w:rsidRPr="000027F1">
              <w:t>3</w:t>
            </w:r>
            <w:r w:rsidR="00A63429" w:rsidRPr="000027F1">
              <w:t>%</w:t>
            </w:r>
          </w:p>
        </w:tc>
      </w:tr>
      <w:tr w:rsidR="00A63429" w:rsidRPr="003D213D" w14:paraId="170EDECE" w14:textId="77777777" w:rsidTr="00642DC1">
        <w:tc>
          <w:tcPr>
            <w:tcW w:w="3544" w:type="dxa"/>
            <w:shd w:val="clear" w:color="auto" w:fill="auto"/>
          </w:tcPr>
          <w:p w14:paraId="6EB32CAE" w14:textId="63764984" w:rsidR="00A63429" w:rsidRPr="000027F1" w:rsidRDefault="006F2907" w:rsidP="00E9572D">
            <w:pPr>
              <w:pStyle w:val="TableRowHead"/>
            </w:pPr>
            <w:r w:rsidRPr="000027F1">
              <w:t xml:space="preserve">Unhedged Global </w:t>
            </w:r>
            <w:r w:rsidR="00A63429" w:rsidRPr="000027F1">
              <w:t>Private Equity</w:t>
            </w:r>
          </w:p>
        </w:tc>
        <w:tc>
          <w:tcPr>
            <w:tcW w:w="2268" w:type="dxa"/>
            <w:shd w:val="clear" w:color="auto" w:fill="auto"/>
          </w:tcPr>
          <w:p w14:paraId="6AC5F184" w14:textId="19C702A8" w:rsidR="00A63429" w:rsidRPr="000027F1" w:rsidRDefault="006F2907" w:rsidP="00E9572D">
            <w:pPr>
              <w:pStyle w:val="Tablecopy"/>
            </w:pPr>
            <w:r w:rsidRPr="000027F1">
              <w:t>9</w:t>
            </w:r>
            <w:r w:rsidR="00A63429" w:rsidRPr="000027F1">
              <w:t>.</w:t>
            </w:r>
            <w:r w:rsidRPr="000027F1">
              <w:t>0</w:t>
            </w:r>
            <w:r w:rsidR="00A63429" w:rsidRPr="000027F1">
              <w:t>%</w:t>
            </w:r>
          </w:p>
        </w:tc>
        <w:tc>
          <w:tcPr>
            <w:tcW w:w="2447" w:type="dxa"/>
            <w:shd w:val="clear" w:color="auto" w:fill="auto"/>
          </w:tcPr>
          <w:p w14:paraId="46CF3AC8" w14:textId="3E8439E9" w:rsidR="00A63429" w:rsidRPr="000027F1" w:rsidRDefault="00A63429" w:rsidP="00E9572D">
            <w:pPr>
              <w:pStyle w:val="Tablecopy"/>
            </w:pPr>
            <w:r w:rsidRPr="000027F1">
              <w:t>2</w:t>
            </w:r>
            <w:r w:rsidR="006F2907" w:rsidRPr="000027F1">
              <w:t>8</w:t>
            </w:r>
            <w:r w:rsidRPr="000027F1">
              <w:t>.</w:t>
            </w:r>
            <w:r w:rsidR="006F2907" w:rsidRPr="000027F1">
              <w:t>3</w:t>
            </w:r>
            <w:r w:rsidRPr="000027F1">
              <w:t>%</w:t>
            </w:r>
          </w:p>
        </w:tc>
      </w:tr>
      <w:tr w:rsidR="00A63429" w:rsidRPr="003D213D" w14:paraId="310C0357" w14:textId="77777777" w:rsidTr="00642DC1">
        <w:tc>
          <w:tcPr>
            <w:tcW w:w="3544" w:type="dxa"/>
            <w:shd w:val="clear" w:color="auto" w:fill="auto"/>
          </w:tcPr>
          <w:p w14:paraId="308637A3" w14:textId="71AE7CA1" w:rsidR="00A63429" w:rsidRPr="000027F1" w:rsidRDefault="006F2907" w:rsidP="00E9572D">
            <w:pPr>
              <w:pStyle w:val="TableRowHead"/>
            </w:pPr>
            <w:r w:rsidRPr="000027F1">
              <w:t>Private Debt</w:t>
            </w:r>
          </w:p>
        </w:tc>
        <w:tc>
          <w:tcPr>
            <w:tcW w:w="2268" w:type="dxa"/>
            <w:shd w:val="clear" w:color="auto" w:fill="auto"/>
          </w:tcPr>
          <w:p w14:paraId="281147E6" w14:textId="4DF02D4A" w:rsidR="00A63429" w:rsidRPr="000027F1" w:rsidRDefault="00A63429" w:rsidP="00E9572D">
            <w:pPr>
              <w:pStyle w:val="Tablecopy"/>
            </w:pPr>
            <w:r w:rsidRPr="000027F1">
              <w:t>7.</w:t>
            </w:r>
            <w:r w:rsidR="006F2907" w:rsidRPr="000027F1">
              <w:t>4</w:t>
            </w:r>
            <w:r w:rsidRPr="000027F1">
              <w:t>%</w:t>
            </w:r>
          </w:p>
        </w:tc>
        <w:tc>
          <w:tcPr>
            <w:tcW w:w="2447" w:type="dxa"/>
            <w:shd w:val="clear" w:color="auto" w:fill="auto"/>
          </w:tcPr>
          <w:p w14:paraId="3A001AAC" w14:textId="12065304" w:rsidR="00A63429" w:rsidRPr="000027F1" w:rsidRDefault="00A63429" w:rsidP="00E9572D">
            <w:pPr>
              <w:pStyle w:val="Tablecopy"/>
            </w:pPr>
            <w:r w:rsidRPr="000027F1">
              <w:t>8.5%</w:t>
            </w:r>
          </w:p>
        </w:tc>
      </w:tr>
      <w:tr w:rsidR="00A63429" w:rsidRPr="003D213D" w14:paraId="14C667AA" w14:textId="77777777" w:rsidTr="00642DC1">
        <w:tc>
          <w:tcPr>
            <w:tcW w:w="3544" w:type="dxa"/>
            <w:shd w:val="clear" w:color="auto" w:fill="auto"/>
          </w:tcPr>
          <w:p w14:paraId="34E8E5B1" w14:textId="17AB7FD8" w:rsidR="006F2907" w:rsidRPr="000027F1" w:rsidRDefault="006F2907" w:rsidP="00E9572D">
            <w:pPr>
              <w:pStyle w:val="TableRowHead"/>
            </w:pPr>
            <w:r w:rsidRPr="000027F1">
              <w:t>Fixed Interest Corporate Bonds</w:t>
            </w:r>
          </w:p>
        </w:tc>
        <w:tc>
          <w:tcPr>
            <w:tcW w:w="2268" w:type="dxa"/>
            <w:shd w:val="clear" w:color="auto" w:fill="auto"/>
          </w:tcPr>
          <w:p w14:paraId="65C07CE8" w14:textId="22570D5C" w:rsidR="00A63429" w:rsidRPr="000027F1" w:rsidRDefault="006F2907" w:rsidP="00E9572D">
            <w:pPr>
              <w:pStyle w:val="Tablecopy"/>
            </w:pPr>
            <w:r w:rsidRPr="000027F1">
              <w:t>5</w:t>
            </w:r>
            <w:r w:rsidR="00A63429" w:rsidRPr="000027F1">
              <w:t>.</w:t>
            </w:r>
            <w:r w:rsidRPr="000027F1">
              <w:t>1</w:t>
            </w:r>
            <w:r w:rsidR="00A63429" w:rsidRPr="000027F1">
              <w:t>%</w:t>
            </w:r>
          </w:p>
        </w:tc>
        <w:tc>
          <w:tcPr>
            <w:tcW w:w="2447" w:type="dxa"/>
            <w:shd w:val="clear" w:color="auto" w:fill="auto"/>
          </w:tcPr>
          <w:p w14:paraId="2484C6AC" w14:textId="00A83F7E" w:rsidR="00A63429" w:rsidRPr="000027F1" w:rsidRDefault="00A63429" w:rsidP="00E9572D">
            <w:pPr>
              <w:pStyle w:val="Tablecopy"/>
            </w:pPr>
            <w:r w:rsidRPr="000027F1">
              <w:t>9.</w:t>
            </w:r>
            <w:r w:rsidR="006F2907" w:rsidRPr="000027F1">
              <w:t>3</w:t>
            </w:r>
            <w:r w:rsidRPr="000027F1">
              <w:t>%</w:t>
            </w:r>
          </w:p>
        </w:tc>
      </w:tr>
      <w:tr w:rsidR="00A63429" w:rsidRPr="003D213D" w14:paraId="595FCB0E" w14:textId="77777777" w:rsidTr="00642DC1">
        <w:tc>
          <w:tcPr>
            <w:tcW w:w="3544" w:type="dxa"/>
            <w:shd w:val="clear" w:color="auto" w:fill="auto"/>
          </w:tcPr>
          <w:p w14:paraId="1A839A8F" w14:textId="519879AC" w:rsidR="00A63429" w:rsidRPr="000027F1" w:rsidRDefault="006F2907" w:rsidP="00E9572D">
            <w:pPr>
              <w:pStyle w:val="TableRowHead"/>
            </w:pPr>
            <w:r w:rsidRPr="000027F1">
              <w:t>Inflation linked Gilts</w:t>
            </w:r>
          </w:p>
        </w:tc>
        <w:tc>
          <w:tcPr>
            <w:tcW w:w="2268" w:type="dxa"/>
            <w:shd w:val="clear" w:color="auto" w:fill="auto"/>
          </w:tcPr>
          <w:p w14:paraId="45CD2376" w14:textId="1E4C1E83" w:rsidR="00A63429" w:rsidRPr="000027F1" w:rsidRDefault="006F2907" w:rsidP="00E9572D">
            <w:pPr>
              <w:pStyle w:val="Tablecopy"/>
            </w:pPr>
            <w:r w:rsidRPr="000027F1">
              <w:t>2</w:t>
            </w:r>
            <w:r w:rsidR="00A63429" w:rsidRPr="000027F1">
              <w:t>.</w:t>
            </w:r>
            <w:r w:rsidRPr="000027F1">
              <w:t>9</w:t>
            </w:r>
            <w:r w:rsidR="00A63429" w:rsidRPr="000027F1">
              <w:t>%</w:t>
            </w:r>
          </w:p>
        </w:tc>
        <w:tc>
          <w:tcPr>
            <w:tcW w:w="2447" w:type="dxa"/>
            <w:shd w:val="clear" w:color="auto" w:fill="auto"/>
          </w:tcPr>
          <w:p w14:paraId="69D63297" w14:textId="2435803B" w:rsidR="00A63429" w:rsidRPr="000027F1" w:rsidRDefault="00A63429" w:rsidP="00E9572D">
            <w:pPr>
              <w:pStyle w:val="Tablecopy"/>
            </w:pPr>
            <w:r w:rsidRPr="000027F1">
              <w:t>1</w:t>
            </w:r>
            <w:r w:rsidR="006F2907" w:rsidRPr="000027F1">
              <w:t>0</w:t>
            </w:r>
            <w:r w:rsidRPr="000027F1">
              <w:t>.</w:t>
            </w:r>
            <w:r w:rsidR="006F2907" w:rsidRPr="000027F1">
              <w:t>6</w:t>
            </w:r>
            <w:r w:rsidRPr="000027F1">
              <w:t>%</w:t>
            </w:r>
          </w:p>
        </w:tc>
      </w:tr>
      <w:tr w:rsidR="00A63429" w:rsidRPr="003D213D" w14:paraId="739C1EF1" w14:textId="77777777" w:rsidTr="00642DC1">
        <w:tc>
          <w:tcPr>
            <w:tcW w:w="3544" w:type="dxa"/>
            <w:shd w:val="clear" w:color="auto" w:fill="auto"/>
          </w:tcPr>
          <w:p w14:paraId="4AFDD01F" w14:textId="33852E80" w:rsidR="00A63429" w:rsidRPr="000027F1" w:rsidRDefault="006F2907" w:rsidP="00E9572D">
            <w:pPr>
              <w:pStyle w:val="TableRowHead"/>
            </w:pPr>
            <w:r w:rsidRPr="000027F1">
              <w:t>Alternative Credit Fund</w:t>
            </w:r>
          </w:p>
        </w:tc>
        <w:tc>
          <w:tcPr>
            <w:tcW w:w="2268" w:type="dxa"/>
            <w:shd w:val="clear" w:color="auto" w:fill="auto"/>
          </w:tcPr>
          <w:p w14:paraId="06260EA8" w14:textId="1755C0E4" w:rsidR="00A63429" w:rsidRPr="000027F1" w:rsidRDefault="006F2907" w:rsidP="00E9572D">
            <w:pPr>
              <w:pStyle w:val="Tablecopy"/>
            </w:pPr>
            <w:r w:rsidRPr="000027F1">
              <w:t>6.1</w:t>
            </w:r>
            <w:r w:rsidR="00A63429" w:rsidRPr="000027F1">
              <w:t>%</w:t>
            </w:r>
          </w:p>
        </w:tc>
        <w:tc>
          <w:tcPr>
            <w:tcW w:w="2447" w:type="dxa"/>
            <w:shd w:val="clear" w:color="auto" w:fill="auto"/>
          </w:tcPr>
          <w:p w14:paraId="7D0CEAE4" w14:textId="50F04A77" w:rsidR="00A63429" w:rsidRPr="000027F1" w:rsidRDefault="006F2907" w:rsidP="00E9572D">
            <w:pPr>
              <w:pStyle w:val="Tablecopy"/>
            </w:pPr>
            <w:r w:rsidRPr="000027F1">
              <w:t>8</w:t>
            </w:r>
            <w:r w:rsidR="00A63429" w:rsidRPr="000027F1">
              <w:t>.</w:t>
            </w:r>
            <w:r w:rsidRPr="000027F1">
              <w:t>7</w:t>
            </w:r>
            <w:r w:rsidR="00A63429" w:rsidRPr="000027F1">
              <w:t>%</w:t>
            </w:r>
          </w:p>
        </w:tc>
      </w:tr>
    </w:tbl>
    <w:p w14:paraId="03BB8CE0" w14:textId="012D1D8A" w:rsidR="006F2907" w:rsidRPr="000027F1" w:rsidRDefault="006F2907" w:rsidP="00642DC1">
      <w:pPr>
        <w:pStyle w:val="BodyTextGrey"/>
        <w:ind w:left="709"/>
        <w:jc w:val="both"/>
        <w:rPr>
          <w:iCs w:val="0"/>
          <w:color w:val="auto"/>
          <w:szCs w:val="16"/>
        </w:rPr>
      </w:pPr>
      <w:r w:rsidRPr="000027F1">
        <w:rPr>
          <w:iCs w:val="0"/>
          <w:color w:val="auto"/>
          <w:szCs w:val="16"/>
        </w:rPr>
        <w:t xml:space="preserve">Expected returns detailed are the median expected annualised return over a 10 year timeframe. Expected returns are quoted in absolute terms. </w:t>
      </w:r>
    </w:p>
    <w:p w14:paraId="243BC412" w14:textId="4CE4E1E9" w:rsidR="001610E4" w:rsidRPr="001C5277" w:rsidRDefault="00A63429" w:rsidP="000027F1">
      <w:pPr>
        <w:pStyle w:val="BodyTextGrey"/>
        <w:jc w:val="both"/>
        <w:rPr>
          <w:color w:val="auto"/>
          <w:sz w:val="24"/>
          <w:szCs w:val="24"/>
        </w:rPr>
      </w:pPr>
      <w:r w:rsidRPr="000027F1">
        <w:rPr>
          <w:iCs w:val="0"/>
          <w:color w:val="auto"/>
          <w:szCs w:val="16"/>
        </w:rPr>
        <w:lastRenderedPageBreak/>
        <w:t>Source:Aon</w:t>
      </w:r>
      <w:r>
        <w:rPr>
          <w:color w:val="auto"/>
          <w:sz w:val="24"/>
          <w:szCs w:val="24"/>
        </w:rPr>
        <w:br/>
      </w:r>
    </w:p>
    <w:p w14:paraId="204FD2FA" w14:textId="20D71AF6" w:rsidR="002420E6" w:rsidRPr="00642DC1" w:rsidRDefault="002420E6" w:rsidP="00642DC1">
      <w:pPr>
        <w:numPr>
          <w:ilvl w:val="1"/>
          <w:numId w:val="32"/>
        </w:numPr>
        <w:autoSpaceDE w:val="0"/>
        <w:autoSpaceDN w:val="0"/>
        <w:adjustRightInd w:val="0"/>
        <w:ind w:left="709" w:hanging="709"/>
        <w:jc w:val="both"/>
        <w:rPr>
          <w:color w:val="000000"/>
          <w:szCs w:val="24"/>
          <w:lang w:eastAsia="en-GB"/>
        </w:rPr>
      </w:pPr>
      <w:r w:rsidRPr="00642DC1">
        <w:rPr>
          <w:rFonts w:ascii="Arial" w:hAnsi="Arial" w:cs="Arial"/>
          <w:color w:val="000000"/>
          <w:szCs w:val="24"/>
          <w:lang w:val="en-GB" w:eastAsia="en-GB"/>
        </w:rPr>
        <w:t xml:space="preserve">Further details on the Fund’s risks, including the approach to mitigating </w:t>
      </w:r>
      <w:r w:rsidR="00387D43" w:rsidRPr="00642DC1">
        <w:rPr>
          <w:rFonts w:ascii="Arial" w:hAnsi="Arial" w:cs="Arial"/>
          <w:color w:val="000000"/>
          <w:szCs w:val="24"/>
          <w:lang w:val="en-GB" w:eastAsia="en-GB"/>
        </w:rPr>
        <w:t>them</w:t>
      </w:r>
      <w:r w:rsidRPr="00642DC1">
        <w:rPr>
          <w:rFonts w:ascii="Arial" w:hAnsi="Arial" w:cs="Arial"/>
          <w:color w:val="000000"/>
          <w:szCs w:val="24"/>
          <w:lang w:val="en-GB" w:eastAsia="en-GB"/>
        </w:rPr>
        <w:t>, is provided in section 11.</w:t>
      </w:r>
    </w:p>
    <w:p w14:paraId="315D7E30" w14:textId="79C3C117" w:rsidR="002420E6" w:rsidRPr="002B1691" w:rsidRDefault="002420E6" w:rsidP="002420E6">
      <w:pPr>
        <w:pStyle w:val="BodyTextGrey"/>
        <w:jc w:val="both"/>
        <w:rPr>
          <w:color w:val="auto"/>
          <w:sz w:val="24"/>
          <w:szCs w:val="24"/>
        </w:rPr>
      </w:pPr>
    </w:p>
    <w:p w14:paraId="6ABEC835" w14:textId="55F17224" w:rsidR="00703EAD" w:rsidRDefault="00703EAD" w:rsidP="001F4FE1">
      <w:pPr>
        <w:pStyle w:val="Heading2"/>
        <w:numPr>
          <w:ilvl w:val="0"/>
          <w:numId w:val="32"/>
        </w:numPr>
        <w:ind w:left="709" w:right="425" w:hanging="709"/>
        <w:jc w:val="both"/>
        <w:rPr>
          <w:rFonts w:ascii="Arial" w:hAnsi="Arial" w:cs="Arial"/>
          <w:sz w:val="28"/>
          <w:szCs w:val="28"/>
        </w:rPr>
      </w:pPr>
      <w:r w:rsidRPr="00703EAD">
        <w:rPr>
          <w:rFonts w:ascii="Arial" w:hAnsi="Arial" w:cs="Arial"/>
          <w:sz w:val="28"/>
          <w:szCs w:val="28"/>
        </w:rPr>
        <w:t>Asset classes</w:t>
      </w:r>
    </w:p>
    <w:p w14:paraId="3413921D" w14:textId="77777777" w:rsidR="00703EAD" w:rsidRPr="00703EAD" w:rsidRDefault="00703EAD" w:rsidP="00703EAD">
      <w:pPr>
        <w:rPr>
          <w:lang w:val="en-GB"/>
        </w:rPr>
      </w:pPr>
    </w:p>
    <w:p w14:paraId="6DD93BD9" w14:textId="79F9B7FB" w:rsidR="00703EAD" w:rsidRPr="001F4FE1" w:rsidRDefault="00CF2316" w:rsidP="00D813B2">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 xml:space="preserve">The </w:t>
      </w:r>
      <w:r w:rsidR="00703EAD" w:rsidRPr="001F4FE1">
        <w:rPr>
          <w:rFonts w:ascii="Arial" w:hAnsi="Arial" w:cs="Arial"/>
          <w:color w:val="000000"/>
          <w:szCs w:val="24"/>
          <w:lang w:val="en-GB" w:eastAsia="en-GB"/>
        </w:rPr>
        <w:t xml:space="preserve">Fund may invest in quoted and unquoted securities of UK and overseas markets including equities and fixed interest and index linked bonds, cash, property and commodities either directly or through pooled funds.  The Fund may also make use of contracts for differences and other derivatives either directly or in pooled funds investing in these products for the purpose of efficient portfolio management or to hedge specific risks. </w:t>
      </w:r>
    </w:p>
    <w:p w14:paraId="253A8451" w14:textId="77777777" w:rsidR="00D813B2" w:rsidRPr="001F4FE1" w:rsidRDefault="00D813B2" w:rsidP="001F4FE1">
      <w:pPr>
        <w:autoSpaceDE w:val="0"/>
        <w:autoSpaceDN w:val="0"/>
        <w:adjustRightInd w:val="0"/>
        <w:ind w:left="709"/>
        <w:jc w:val="both"/>
        <w:rPr>
          <w:rFonts w:ascii="Arial" w:hAnsi="Arial" w:cs="Arial"/>
          <w:color w:val="000000"/>
          <w:szCs w:val="24"/>
          <w:lang w:val="en-GB" w:eastAsia="en-GB"/>
        </w:rPr>
      </w:pPr>
    </w:p>
    <w:p w14:paraId="41D9E174" w14:textId="6797685D" w:rsidR="00810E13" w:rsidRPr="001F4FE1" w:rsidRDefault="00810E13" w:rsidP="001F4FE1">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 xml:space="preserve">In line with the Regulations, the </w:t>
      </w:r>
      <w:r w:rsidR="005B7FBC" w:rsidRPr="001F4FE1">
        <w:rPr>
          <w:rFonts w:ascii="Arial" w:hAnsi="Arial" w:cs="Arial"/>
          <w:color w:val="000000"/>
          <w:szCs w:val="24"/>
          <w:lang w:val="en-GB" w:eastAsia="en-GB"/>
        </w:rPr>
        <w:t>Council’s</w:t>
      </w:r>
      <w:r w:rsidRPr="001F4FE1">
        <w:rPr>
          <w:rFonts w:ascii="Arial" w:hAnsi="Arial" w:cs="Arial"/>
          <w:color w:val="000000"/>
          <w:szCs w:val="24"/>
          <w:lang w:val="en-GB" w:eastAsia="en-GB"/>
        </w:rPr>
        <w:t xml:space="preserve"> investment strategy does not permit more than 5% of the total value of all investments of</w:t>
      </w:r>
      <w:r w:rsidR="005B7FBC" w:rsidRPr="001F4FE1">
        <w:rPr>
          <w:rFonts w:ascii="Arial" w:hAnsi="Arial" w:cs="Arial"/>
          <w:color w:val="000000"/>
          <w:szCs w:val="24"/>
          <w:lang w:val="en-GB" w:eastAsia="en-GB"/>
        </w:rPr>
        <w:t xml:space="preserve"> f</w:t>
      </w:r>
      <w:r w:rsidRPr="001F4FE1">
        <w:rPr>
          <w:rFonts w:ascii="Arial" w:hAnsi="Arial" w:cs="Arial"/>
          <w:color w:val="000000"/>
          <w:szCs w:val="24"/>
          <w:lang w:val="en-GB" w:eastAsia="en-GB"/>
        </w:rPr>
        <w:t>und money to be invested in entities which are connected with th</w:t>
      </w:r>
      <w:r w:rsidR="00CF2316" w:rsidRPr="001F4FE1">
        <w:rPr>
          <w:rFonts w:ascii="Arial" w:hAnsi="Arial" w:cs="Arial"/>
          <w:color w:val="000000"/>
          <w:szCs w:val="24"/>
          <w:lang w:val="en-GB" w:eastAsia="en-GB"/>
        </w:rPr>
        <w:t>e Council</w:t>
      </w:r>
      <w:r w:rsidRPr="001F4FE1">
        <w:rPr>
          <w:rFonts w:ascii="Arial" w:hAnsi="Arial" w:cs="Arial"/>
          <w:color w:val="000000"/>
          <w:szCs w:val="24"/>
          <w:lang w:val="en-GB" w:eastAsia="en-GB"/>
        </w:rPr>
        <w:t xml:space="preserve"> within the meaning of section 212 of the Local Government and Public Involvement in Health Act 2007.</w:t>
      </w:r>
    </w:p>
    <w:p w14:paraId="3A9595E3" w14:textId="77777777" w:rsidR="00D813B2" w:rsidRPr="001F4FE1" w:rsidRDefault="00D813B2" w:rsidP="001F4FE1">
      <w:pPr>
        <w:autoSpaceDE w:val="0"/>
        <w:autoSpaceDN w:val="0"/>
        <w:adjustRightInd w:val="0"/>
        <w:ind w:left="709"/>
        <w:jc w:val="both"/>
        <w:rPr>
          <w:rFonts w:ascii="Arial" w:hAnsi="Arial" w:cs="Arial"/>
          <w:color w:val="000000"/>
          <w:szCs w:val="24"/>
          <w:lang w:val="en-GB" w:eastAsia="en-GB"/>
        </w:rPr>
      </w:pPr>
    </w:p>
    <w:p w14:paraId="5EAAEF16" w14:textId="7FA4585E" w:rsidR="00810E13" w:rsidRPr="00974C84" w:rsidRDefault="00810E13" w:rsidP="001F4FE1">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Apart from the maximum level of investments detailed</w:t>
      </w:r>
      <w:r w:rsidR="006E36B8" w:rsidRPr="001F4FE1">
        <w:rPr>
          <w:rFonts w:ascii="Arial" w:hAnsi="Arial" w:cs="Arial"/>
          <w:color w:val="000000"/>
          <w:szCs w:val="24"/>
          <w:lang w:val="en-GB" w:eastAsia="en-GB"/>
        </w:rPr>
        <w:t xml:space="preserve"> in the table above</w:t>
      </w:r>
      <w:r w:rsidRPr="001F4FE1">
        <w:rPr>
          <w:rFonts w:ascii="Arial" w:hAnsi="Arial" w:cs="Arial"/>
          <w:color w:val="000000"/>
          <w:szCs w:val="24"/>
          <w:lang w:val="en-GB" w:eastAsia="en-GB"/>
        </w:rPr>
        <w:t xml:space="preserve"> the Fund has no further </w:t>
      </w:r>
      <w:r w:rsidRPr="00974C84">
        <w:rPr>
          <w:rFonts w:ascii="Arial" w:hAnsi="Arial" w:cs="Arial"/>
          <w:color w:val="000000"/>
          <w:szCs w:val="24"/>
          <w:lang w:val="en-GB" w:eastAsia="en-GB"/>
        </w:rPr>
        <w:t>restrictions.</w:t>
      </w:r>
    </w:p>
    <w:p w14:paraId="5EA317ED" w14:textId="77777777" w:rsidR="00CF2316" w:rsidRPr="00974C84" w:rsidRDefault="00CF2316" w:rsidP="00642DC1">
      <w:pPr>
        <w:autoSpaceDE w:val="0"/>
        <w:autoSpaceDN w:val="0"/>
        <w:adjustRightInd w:val="0"/>
        <w:ind w:left="709"/>
        <w:jc w:val="both"/>
        <w:rPr>
          <w:rFonts w:ascii="Arial" w:hAnsi="Arial" w:cs="Arial"/>
          <w:color w:val="000000"/>
          <w:szCs w:val="24"/>
          <w:lang w:val="en-GB" w:eastAsia="en-GB"/>
        </w:rPr>
      </w:pPr>
    </w:p>
    <w:p w14:paraId="4130FA30" w14:textId="274F56A7" w:rsidR="00A63429" w:rsidRPr="00642DC1" w:rsidRDefault="00A63429"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0027F1">
        <w:rPr>
          <w:rFonts w:ascii="Arial" w:hAnsi="Arial" w:cs="Arial"/>
          <w:color w:val="000000"/>
          <w:szCs w:val="24"/>
          <w:lang w:val="en-GB" w:eastAsia="en-GB"/>
        </w:rPr>
        <w:t>The majority of the Fund’s assets are highly liquid and the Council is satisfied that the Fund has sufficient liquid assets to meet all expected and unexpected demands for cash.</w:t>
      </w:r>
      <w:r w:rsidRPr="00974C84">
        <w:rPr>
          <w:rFonts w:ascii="Arial" w:hAnsi="Arial" w:cs="Arial"/>
          <w:color w:val="000000"/>
          <w:szCs w:val="24"/>
          <w:lang w:val="en-GB" w:eastAsia="en-GB"/>
        </w:rPr>
        <w:t xml:space="preserve">  Assets in the Fund that are</w:t>
      </w:r>
      <w:r w:rsidRPr="00642DC1">
        <w:rPr>
          <w:rFonts w:ascii="Arial" w:hAnsi="Arial" w:cs="Arial"/>
          <w:color w:val="000000"/>
          <w:szCs w:val="24"/>
          <w:lang w:val="en-GB" w:eastAsia="en-GB"/>
        </w:rPr>
        <w:t xml:space="preserve"> considered to be illiquid include property, infrastructure and private equity. As a long term investor the Council considers it prudent to include illiquid assets in its strategic asset allocation in order to benefit from the additional diversification and extra return this should provide.</w:t>
      </w:r>
    </w:p>
    <w:p w14:paraId="098FD5BE" w14:textId="77777777" w:rsidR="000760CB" w:rsidRPr="00642DC1" w:rsidRDefault="000760CB" w:rsidP="00642DC1">
      <w:pPr>
        <w:autoSpaceDE w:val="0"/>
        <w:autoSpaceDN w:val="0"/>
        <w:adjustRightInd w:val="0"/>
        <w:ind w:left="709"/>
        <w:jc w:val="both"/>
        <w:rPr>
          <w:lang w:val="en-GB" w:eastAsia="en-GB"/>
        </w:rPr>
      </w:pPr>
    </w:p>
    <w:p w14:paraId="6E0783E8" w14:textId="5BE52E29" w:rsidR="00975E32" w:rsidRPr="00642DC1" w:rsidRDefault="00975E32" w:rsidP="001F4FE1">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ab/>
      </w:r>
      <w:r w:rsidR="00293A78" w:rsidRPr="00642DC1">
        <w:rPr>
          <w:rFonts w:ascii="Arial" w:hAnsi="Arial" w:cs="Arial"/>
          <w:color w:val="000000"/>
          <w:szCs w:val="24"/>
          <w:lang w:val="en-GB" w:eastAsia="en-GB"/>
        </w:rPr>
        <w:t>For most of its investments t</w:t>
      </w:r>
      <w:r w:rsidRPr="00642DC1">
        <w:rPr>
          <w:rFonts w:ascii="Arial" w:hAnsi="Arial" w:cs="Arial"/>
          <w:color w:val="000000"/>
          <w:szCs w:val="24"/>
          <w:lang w:val="en-GB" w:eastAsia="en-GB"/>
        </w:rPr>
        <w:t>he Council has delegated to the fund managers responsibility for the selection, retention and realisation of assets.</w:t>
      </w:r>
    </w:p>
    <w:p w14:paraId="3C853485" w14:textId="26C9DDDF" w:rsidR="00642DC1" w:rsidRDefault="00642DC1">
      <w:r>
        <w:br w:type="page"/>
      </w:r>
    </w:p>
    <w:p w14:paraId="5D3CA4E3" w14:textId="6EF7FE79" w:rsidR="00772F00" w:rsidRDefault="00111980" w:rsidP="001F4FE1">
      <w:pPr>
        <w:pStyle w:val="Heading2"/>
        <w:numPr>
          <w:ilvl w:val="0"/>
          <w:numId w:val="32"/>
        </w:numPr>
        <w:ind w:left="709" w:right="425" w:hanging="709"/>
        <w:jc w:val="both"/>
        <w:rPr>
          <w:rFonts w:ascii="Arial" w:hAnsi="Arial" w:cs="Arial"/>
          <w:sz w:val="28"/>
          <w:szCs w:val="28"/>
        </w:rPr>
      </w:pPr>
      <w:r>
        <w:rPr>
          <w:rFonts w:ascii="Arial" w:hAnsi="Arial" w:cs="Arial"/>
          <w:sz w:val="28"/>
          <w:szCs w:val="28"/>
        </w:rPr>
        <w:lastRenderedPageBreak/>
        <w:t xml:space="preserve">Fund </w:t>
      </w:r>
      <w:r w:rsidR="00024019">
        <w:rPr>
          <w:rFonts w:ascii="Arial" w:hAnsi="Arial" w:cs="Arial"/>
          <w:sz w:val="28"/>
          <w:szCs w:val="28"/>
        </w:rPr>
        <w:t>m</w:t>
      </w:r>
      <w:r w:rsidR="000760CB" w:rsidRPr="000760CB">
        <w:rPr>
          <w:rFonts w:ascii="Arial" w:hAnsi="Arial" w:cs="Arial"/>
          <w:sz w:val="28"/>
          <w:szCs w:val="28"/>
        </w:rPr>
        <w:t>anagers</w:t>
      </w:r>
    </w:p>
    <w:p w14:paraId="7A8E78BF" w14:textId="77777777" w:rsidR="0091683A" w:rsidRPr="0091683A" w:rsidRDefault="0091683A" w:rsidP="0091683A">
      <w:pPr>
        <w:rPr>
          <w:lang w:val="en-GB"/>
        </w:rPr>
      </w:pPr>
    </w:p>
    <w:p w14:paraId="46BB20E3" w14:textId="1A1CD057" w:rsidR="00617341" w:rsidRPr="00642DC1" w:rsidRDefault="00BE3140" w:rsidP="001F4FE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ab/>
      </w:r>
      <w:r w:rsidR="00617341" w:rsidRPr="00642DC1">
        <w:rPr>
          <w:rFonts w:ascii="Arial" w:hAnsi="Arial" w:cs="Arial"/>
          <w:color w:val="000000"/>
          <w:szCs w:val="24"/>
          <w:lang w:val="en-GB" w:eastAsia="en-GB"/>
        </w:rPr>
        <w:t xml:space="preserve">The Council has delegated the management of the Fund’s investments to professional investment managers, appointed in accordance with the Local Government Pension Scheme </w:t>
      </w:r>
      <w:r w:rsidR="00A93C4F" w:rsidRPr="00642DC1">
        <w:rPr>
          <w:rFonts w:ascii="Arial" w:hAnsi="Arial" w:cs="Arial"/>
          <w:color w:val="000000"/>
          <w:szCs w:val="24"/>
          <w:lang w:val="en-GB" w:eastAsia="en-GB"/>
        </w:rPr>
        <w:t>R</w:t>
      </w:r>
      <w:r w:rsidR="00617341" w:rsidRPr="00642DC1">
        <w:rPr>
          <w:rFonts w:ascii="Arial" w:hAnsi="Arial" w:cs="Arial"/>
          <w:color w:val="000000"/>
          <w:szCs w:val="24"/>
          <w:lang w:val="en-GB" w:eastAsia="en-GB"/>
        </w:rPr>
        <w:t>egulations</w:t>
      </w:r>
      <w:r w:rsidR="00A93C4F" w:rsidRPr="00642DC1">
        <w:rPr>
          <w:rFonts w:ascii="Arial" w:hAnsi="Arial" w:cs="Arial"/>
          <w:color w:val="000000"/>
          <w:szCs w:val="24"/>
          <w:lang w:val="en-GB" w:eastAsia="en-GB"/>
        </w:rPr>
        <w:t>. Their</w:t>
      </w:r>
      <w:r w:rsidR="00617341" w:rsidRPr="00642DC1">
        <w:rPr>
          <w:rFonts w:ascii="Arial" w:hAnsi="Arial" w:cs="Arial"/>
          <w:color w:val="000000"/>
          <w:szCs w:val="24"/>
          <w:lang w:val="en-GB" w:eastAsia="en-GB"/>
        </w:rPr>
        <w:t xml:space="preserve"> activities are specified in either detailed investment management agreements or subscription agreements and regularly monitored.  </w:t>
      </w:r>
      <w:r w:rsidR="00617341" w:rsidRPr="00642DC1">
        <w:rPr>
          <w:rFonts w:ascii="Arial" w:hAnsi="Arial" w:cs="Arial"/>
          <w:lang w:val="en-GB" w:eastAsia="en-GB"/>
        </w:rPr>
        <w:t>The Committee is satisfied that the appointed fund managers</w:t>
      </w:r>
      <w:r w:rsidR="0091683A" w:rsidRPr="00642DC1">
        <w:rPr>
          <w:rFonts w:ascii="Arial" w:hAnsi="Arial" w:cs="Arial"/>
          <w:lang w:val="en-GB" w:eastAsia="en-GB"/>
        </w:rPr>
        <w:t>,</w:t>
      </w:r>
      <w:r w:rsidR="00617341" w:rsidRPr="00642DC1">
        <w:rPr>
          <w:rFonts w:ascii="Arial" w:hAnsi="Arial" w:cs="Arial"/>
          <w:lang w:val="en-GB" w:eastAsia="en-GB"/>
        </w:rPr>
        <w:t xml:space="preserve"> </w:t>
      </w:r>
      <w:r w:rsidR="0091683A" w:rsidRPr="00642DC1">
        <w:rPr>
          <w:rFonts w:ascii="Arial" w:hAnsi="Arial" w:cs="Arial"/>
          <w:color w:val="000000"/>
          <w:szCs w:val="24"/>
          <w:lang w:val="en-GB" w:eastAsia="en-GB"/>
        </w:rPr>
        <w:t xml:space="preserve">all of whom are authorised under the Financial Services and Markets Act 2000 to undertake investment business, </w:t>
      </w:r>
      <w:r w:rsidR="00617341" w:rsidRPr="00642DC1">
        <w:rPr>
          <w:rFonts w:ascii="Arial" w:hAnsi="Arial" w:cs="Arial"/>
          <w:lang w:val="en-GB" w:eastAsia="en-GB"/>
        </w:rPr>
        <w:t>have sufficient expertise and experience to carry out their roles.</w:t>
      </w:r>
    </w:p>
    <w:p w14:paraId="13E974B7" w14:textId="77777777" w:rsidR="00617341" w:rsidRPr="00642DC1" w:rsidRDefault="00617341" w:rsidP="00642DC1">
      <w:pPr>
        <w:autoSpaceDE w:val="0"/>
        <w:autoSpaceDN w:val="0"/>
        <w:adjustRightInd w:val="0"/>
        <w:ind w:left="709"/>
        <w:jc w:val="both"/>
        <w:rPr>
          <w:rFonts w:ascii="Arial" w:hAnsi="Arial" w:cs="Arial"/>
          <w:color w:val="000000"/>
          <w:szCs w:val="24"/>
          <w:lang w:val="en-GB" w:eastAsia="en-GB"/>
        </w:rPr>
      </w:pPr>
    </w:p>
    <w:p w14:paraId="7E2F588F" w14:textId="681B19AA" w:rsidR="002A5340" w:rsidRPr="00642DC1" w:rsidRDefault="002A5340"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The investment style is to appoint fund managers with clear performance benchmarks and place maximum accountability for performance against that benchmark with them.  Multiple fund managers are appointed to give diversification of investment style and spread of risk. The fund managers appointed are mainly remunerated through fees based on the value of assets under management.  </w:t>
      </w:r>
      <w:r w:rsidR="00D87864" w:rsidRPr="00642DC1">
        <w:rPr>
          <w:rFonts w:ascii="Arial" w:hAnsi="Arial" w:cs="Arial"/>
          <w:color w:val="000000"/>
          <w:szCs w:val="24"/>
          <w:lang w:val="en-GB" w:eastAsia="en-GB"/>
        </w:rPr>
        <w:t>Some</w:t>
      </w:r>
      <w:r w:rsidRPr="00642DC1">
        <w:rPr>
          <w:rFonts w:ascii="Arial" w:hAnsi="Arial" w:cs="Arial"/>
          <w:color w:val="000000"/>
          <w:szCs w:val="24"/>
          <w:lang w:val="en-GB" w:eastAsia="en-GB"/>
        </w:rPr>
        <w:t xml:space="preserve"> managers</w:t>
      </w:r>
      <w:r w:rsidR="00D87864" w:rsidRPr="00642DC1">
        <w:rPr>
          <w:rFonts w:ascii="Arial" w:hAnsi="Arial" w:cs="Arial"/>
          <w:color w:val="000000"/>
          <w:szCs w:val="24"/>
          <w:lang w:val="en-GB" w:eastAsia="en-GB"/>
        </w:rPr>
        <w:t>, such as private equity and infrastructure managers,</w:t>
      </w:r>
      <w:r w:rsidRPr="00642DC1">
        <w:rPr>
          <w:rFonts w:ascii="Arial" w:hAnsi="Arial" w:cs="Arial"/>
          <w:color w:val="000000"/>
          <w:szCs w:val="24"/>
          <w:lang w:val="en-GB" w:eastAsia="en-GB"/>
        </w:rPr>
        <w:t xml:space="preserve"> are remunerated through fees based on commitments and also performance related fees. </w:t>
      </w:r>
    </w:p>
    <w:p w14:paraId="79655C1C" w14:textId="77777777" w:rsidR="00617341" w:rsidRPr="00642DC1" w:rsidRDefault="00617341" w:rsidP="00642DC1">
      <w:pPr>
        <w:autoSpaceDE w:val="0"/>
        <w:autoSpaceDN w:val="0"/>
        <w:adjustRightInd w:val="0"/>
        <w:ind w:left="709"/>
        <w:jc w:val="both"/>
        <w:rPr>
          <w:rFonts w:ascii="Arial" w:hAnsi="Arial" w:cs="Arial"/>
          <w:color w:val="000000"/>
          <w:szCs w:val="24"/>
          <w:lang w:val="en-GB" w:eastAsia="en-GB"/>
        </w:rPr>
      </w:pPr>
    </w:p>
    <w:p w14:paraId="408B893F" w14:textId="07D00F2C" w:rsidR="00754D4C" w:rsidRPr="00642DC1" w:rsidRDefault="00AC538B" w:rsidP="001F4FE1">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 xml:space="preserve">Except for the passive </w:t>
      </w:r>
      <w:r w:rsidR="00387D43" w:rsidRPr="001F4FE1">
        <w:rPr>
          <w:rFonts w:ascii="Arial" w:hAnsi="Arial" w:cs="Arial"/>
          <w:color w:val="000000"/>
          <w:szCs w:val="24"/>
          <w:lang w:val="en-GB" w:eastAsia="en-GB"/>
        </w:rPr>
        <w:t>g</w:t>
      </w:r>
      <w:r w:rsidRPr="001F4FE1">
        <w:rPr>
          <w:rFonts w:ascii="Arial" w:hAnsi="Arial" w:cs="Arial"/>
          <w:color w:val="000000"/>
          <w:szCs w:val="24"/>
          <w:lang w:val="en-GB" w:eastAsia="en-GB"/>
        </w:rPr>
        <w:t>lo</w:t>
      </w:r>
      <w:r w:rsidR="00D74B4B" w:rsidRPr="001F4FE1">
        <w:rPr>
          <w:rFonts w:ascii="Arial" w:hAnsi="Arial" w:cs="Arial"/>
          <w:color w:val="000000"/>
          <w:szCs w:val="24"/>
          <w:lang w:val="en-GB" w:eastAsia="en-GB"/>
        </w:rPr>
        <w:t>b</w:t>
      </w:r>
      <w:r w:rsidRPr="001F4FE1">
        <w:rPr>
          <w:rFonts w:ascii="Arial" w:hAnsi="Arial" w:cs="Arial"/>
          <w:color w:val="000000"/>
          <w:szCs w:val="24"/>
          <w:lang w:val="en-GB" w:eastAsia="en-GB"/>
        </w:rPr>
        <w:t xml:space="preserve">al </w:t>
      </w:r>
      <w:r w:rsidR="00387D43" w:rsidRPr="001F4FE1">
        <w:rPr>
          <w:rFonts w:ascii="Arial" w:hAnsi="Arial" w:cs="Arial"/>
          <w:color w:val="000000"/>
          <w:szCs w:val="24"/>
          <w:lang w:val="en-GB" w:eastAsia="en-GB"/>
        </w:rPr>
        <w:t>e</w:t>
      </w:r>
      <w:r w:rsidRPr="001F4FE1">
        <w:rPr>
          <w:rFonts w:ascii="Arial" w:hAnsi="Arial" w:cs="Arial"/>
          <w:color w:val="000000"/>
          <w:szCs w:val="24"/>
          <w:lang w:val="en-GB" w:eastAsia="en-GB"/>
        </w:rPr>
        <w:t>quities manager, t</w:t>
      </w:r>
      <w:r w:rsidR="002A5340" w:rsidRPr="001F4FE1">
        <w:rPr>
          <w:rFonts w:ascii="Arial" w:hAnsi="Arial" w:cs="Arial"/>
          <w:color w:val="000000"/>
          <w:szCs w:val="24"/>
          <w:lang w:val="en-GB" w:eastAsia="en-GB"/>
        </w:rPr>
        <w:t xml:space="preserve">he managers </w:t>
      </w:r>
      <w:r w:rsidR="003D7897" w:rsidRPr="001F4FE1">
        <w:rPr>
          <w:rFonts w:ascii="Arial" w:hAnsi="Arial" w:cs="Arial"/>
          <w:color w:val="000000"/>
          <w:szCs w:val="24"/>
          <w:lang w:val="en-GB" w:eastAsia="en-GB"/>
        </w:rPr>
        <w:t xml:space="preserve">are expected to </w:t>
      </w:r>
      <w:r w:rsidR="002A5340" w:rsidRPr="001F4FE1">
        <w:rPr>
          <w:rFonts w:ascii="Arial" w:hAnsi="Arial" w:cs="Arial"/>
          <w:color w:val="000000"/>
          <w:szCs w:val="24"/>
          <w:lang w:val="en-GB" w:eastAsia="en-GB"/>
        </w:rPr>
        <w:t>hold a mix of investments which reflect their views relative to their respective benchmarks</w:t>
      </w:r>
      <w:r w:rsidR="002A5340" w:rsidRPr="00642DC1">
        <w:rPr>
          <w:rFonts w:ascii="Arial" w:hAnsi="Arial" w:cs="Arial"/>
          <w:color w:val="000000"/>
          <w:szCs w:val="24"/>
          <w:lang w:val="en-GB" w:eastAsia="en-GB"/>
        </w:rPr>
        <w:t>. Within each major market and asset class, the managers maintain diversified portfolios through direct investment or pooled vehicles.</w:t>
      </w:r>
    </w:p>
    <w:p w14:paraId="25115980" w14:textId="77777777" w:rsidR="00D813B2" w:rsidRDefault="00D813B2" w:rsidP="00642DC1">
      <w:pPr>
        <w:autoSpaceDE w:val="0"/>
        <w:autoSpaceDN w:val="0"/>
        <w:adjustRightInd w:val="0"/>
        <w:ind w:left="709"/>
        <w:jc w:val="both"/>
        <w:rPr>
          <w:rFonts w:ascii="Arial" w:hAnsi="Arial" w:cs="Arial"/>
          <w:color w:val="000000"/>
          <w:szCs w:val="24"/>
          <w:lang w:val="en-GB" w:eastAsia="en-GB"/>
        </w:rPr>
      </w:pPr>
    </w:p>
    <w:p w14:paraId="441CFF17" w14:textId="6B9E7FF6" w:rsidR="006E36B8" w:rsidRDefault="003D7897" w:rsidP="00D813B2">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The</w:t>
      </w:r>
      <w:r w:rsidR="00572227" w:rsidRPr="001F4FE1">
        <w:rPr>
          <w:rFonts w:ascii="Arial" w:hAnsi="Arial" w:cs="Arial"/>
          <w:color w:val="000000"/>
          <w:szCs w:val="24"/>
          <w:lang w:val="en-GB" w:eastAsia="en-GB"/>
        </w:rPr>
        <w:t xml:space="preserve"> management agreement in place for each fund manager, set</w:t>
      </w:r>
      <w:r w:rsidRPr="001F4FE1">
        <w:rPr>
          <w:rFonts w:ascii="Arial" w:hAnsi="Arial" w:cs="Arial"/>
          <w:color w:val="000000"/>
          <w:szCs w:val="24"/>
          <w:lang w:val="en-GB" w:eastAsia="en-GB"/>
        </w:rPr>
        <w:t>s</w:t>
      </w:r>
      <w:r w:rsidR="00572227" w:rsidRPr="001F4FE1">
        <w:rPr>
          <w:rFonts w:ascii="Arial" w:hAnsi="Arial" w:cs="Arial"/>
          <w:color w:val="000000"/>
          <w:szCs w:val="24"/>
          <w:lang w:val="en-GB" w:eastAsia="en-GB"/>
        </w:rPr>
        <w:t xml:space="preserve"> out</w:t>
      </w:r>
      <w:r w:rsidRPr="001F4FE1">
        <w:rPr>
          <w:rFonts w:ascii="Arial" w:hAnsi="Arial" w:cs="Arial"/>
          <w:color w:val="000000"/>
          <w:szCs w:val="24"/>
          <w:lang w:val="en-GB" w:eastAsia="en-GB"/>
        </w:rPr>
        <w:t>,</w:t>
      </w:r>
      <w:r w:rsidR="00572227" w:rsidRPr="001F4FE1">
        <w:rPr>
          <w:rFonts w:ascii="Arial" w:hAnsi="Arial" w:cs="Arial"/>
          <w:color w:val="000000"/>
          <w:szCs w:val="24"/>
          <w:lang w:val="en-GB" w:eastAsia="en-GB"/>
        </w:rPr>
        <w:t xml:space="preserve"> where relevant</w:t>
      </w:r>
      <w:r w:rsidR="00572227" w:rsidRPr="00642DC1">
        <w:rPr>
          <w:rFonts w:ascii="Arial" w:hAnsi="Arial" w:cs="Arial"/>
          <w:color w:val="000000"/>
          <w:szCs w:val="24"/>
          <w:lang w:val="en-GB" w:eastAsia="en-GB"/>
        </w:rPr>
        <w:t>, the benchmark</w:t>
      </w:r>
      <w:r w:rsidR="00754D4C" w:rsidRPr="00642DC1">
        <w:rPr>
          <w:rFonts w:ascii="Arial" w:hAnsi="Arial" w:cs="Arial"/>
          <w:color w:val="000000"/>
          <w:szCs w:val="24"/>
          <w:lang w:val="en-GB" w:eastAsia="en-GB"/>
        </w:rPr>
        <w:t xml:space="preserve"> and</w:t>
      </w:r>
      <w:r w:rsidR="00572227" w:rsidRPr="00642DC1">
        <w:rPr>
          <w:rFonts w:ascii="Arial" w:hAnsi="Arial" w:cs="Arial"/>
          <w:color w:val="000000"/>
          <w:szCs w:val="24"/>
          <w:lang w:val="en-GB" w:eastAsia="en-GB"/>
        </w:rPr>
        <w:t xml:space="preserve"> performance target</w:t>
      </w:r>
      <w:r w:rsidR="00754D4C" w:rsidRPr="00642DC1">
        <w:rPr>
          <w:rFonts w:ascii="Arial" w:hAnsi="Arial" w:cs="Arial"/>
          <w:color w:val="000000"/>
          <w:szCs w:val="24"/>
          <w:lang w:val="en-GB" w:eastAsia="en-GB"/>
        </w:rPr>
        <w:t>s.</w:t>
      </w:r>
      <w:r w:rsidR="00572227" w:rsidRPr="00642DC1">
        <w:rPr>
          <w:rFonts w:ascii="Arial" w:hAnsi="Arial" w:cs="Arial"/>
          <w:color w:val="000000"/>
          <w:szCs w:val="24"/>
          <w:lang w:val="en-GB" w:eastAsia="en-GB"/>
        </w:rPr>
        <w:t xml:space="preserve"> The agreements also set out any statutory or other restrictions determined by the Council. Investment may be made in accordance with The Regulations in equities, fixed interest and other bonds and property, in the UK and overseas markets.  The Regulations specify other investment instruments that may be used, for example, financial futures, traded options, insurance contracts, stock lending, sub-underwriting contracts</w:t>
      </w:r>
      <w:r w:rsidR="006E36B8" w:rsidRPr="00642DC1">
        <w:rPr>
          <w:rFonts w:ascii="Arial" w:hAnsi="Arial" w:cs="Arial"/>
          <w:color w:val="000000"/>
          <w:szCs w:val="24"/>
          <w:lang w:val="en-GB" w:eastAsia="en-GB"/>
        </w:rPr>
        <w:t>.</w:t>
      </w:r>
    </w:p>
    <w:p w14:paraId="6EAA40D6" w14:textId="77777777" w:rsidR="00D813B2" w:rsidRPr="00642DC1" w:rsidRDefault="00D813B2" w:rsidP="00642DC1">
      <w:pPr>
        <w:autoSpaceDE w:val="0"/>
        <w:autoSpaceDN w:val="0"/>
        <w:adjustRightInd w:val="0"/>
        <w:jc w:val="both"/>
        <w:rPr>
          <w:color w:val="000000"/>
          <w:szCs w:val="24"/>
          <w:lang w:eastAsia="en-GB"/>
        </w:rPr>
      </w:pPr>
    </w:p>
    <w:p w14:paraId="1E72BC62" w14:textId="77777777" w:rsidR="00506D6B" w:rsidRDefault="004B0542" w:rsidP="001F4FE1">
      <w:pPr>
        <w:numPr>
          <w:ilvl w:val="1"/>
          <w:numId w:val="32"/>
        </w:numPr>
        <w:autoSpaceDE w:val="0"/>
        <w:autoSpaceDN w:val="0"/>
        <w:adjustRightInd w:val="0"/>
        <w:ind w:left="709" w:hanging="709"/>
        <w:jc w:val="both"/>
        <w:rPr>
          <w:lang w:val="en-GB" w:eastAsia="en-GB"/>
        </w:rPr>
        <w:sectPr w:rsidR="00506D6B" w:rsidSect="00BE3140">
          <w:footerReference w:type="first" r:id="rId9"/>
          <w:pgSz w:w="12240" w:h="15840"/>
          <w:pgMar w:top="1440" w:right="1325" w:bottom="1440" w:left="1440" w:header="720" w:footer="720" w:gutter="0"/>
          <w:cols w:space="720"/>
        </w:sectPr>
      </w:pPr>
      <w:r w:rsidRPr="001F4FE1">
        <w:rPr>
          <w:rFonts w:ascii="Arial" w:hAnsi="Arial" w:cs="Arial"/>
          <w:color w:val="000000"/>
          <w:szCs w:val="24"/>
          <w:lang w:val="en-GB" w:eastAsia="en-GB"/>
        </w:rPr>
        <w:t xml:space="preserve">As </w:t>
      </w:r>
      <w:r w:rsidRPr="00642DC1">
        <w:rPr>
          <w:rFonts w:ascii="Arial" w:hAnsi="Arial" w:cs="Arial"/>
          <w:color w:val="000000"/>
          <w:szCs w:val="24"/>
          <w:lang w:val="en-GB" w:eastAsia="en-GB"/>
        </w:rPr>
        <w:t>at the date of this I</w:t>
      </w:r>
      <w:r w:rsidR="00D813B2" w:rsidRPr="00642DC1">
        <w:rPr>
          <w:rFonts w:ascii="Arial" w:hAnsi="Arial" w:cs="Arial"/>
          <w:color w:val="000000"/>
          <w:szCs w:val="24"/>
          <w:lang w:val="en-GB" w:eastAsia="en-GB"/>
        </w:rPr>
        <w:t xml:space="preserve">nvestment </w:t>
      </w:r>
      <w:r w:rsidRPr="00642DC1">
        <w:rPr>
          <w:rFonts w:ascii="Arial" w:hAnsi="Arial" w:cs="Arial"/>
          <w:color w:val="000000"/>
          <w:szCs w:val="24"/>
          <w:lang w:val="en-GB" w:eastAsia="en-GB"/>
        </w:rPr>
        <w:t>S</w:t>
      </w:r>
      <w:r w:rsidR="00D813B2" w:rsidRPr="00642DC1">
        <w:rPr>
          <w:rFonts w:ascii="Arial" w:hAnsi="Arial" w:cs="Arial"/>
          <w:color w:val="000000"/>
          <w:szCs w:val="24"/>
          <w:lang w:val="en-GB" w:eastAsia="en-GB"/>
        </w:rPr>
        <w:t xml:space="preserve">trategy </w:t>
      </w:r>
      <w:r w:rsidRPr="00642DC1">
        <w:rPr>
          <w:rFonts w:ascii="Arial" w:hAnsi="Arial" w:cs="Arial"/>
          <w:color w:val="000000"/>
          <w:szCs w:val="24"/>
          <w:lang w:val="en-GB" w:eastAsia="en-GB"/>
        </w:rPr>
        <w:t>S</w:t>
      </w:r>
      <w:r w:rsidR="00D813B2" w:rsidRPr="00642DC1">
        <w:rPr>
          <w:rFonts w:ascii="Arial" w:hAnsi="Arial" w:cs="Arial"/>
          <w:color w:val="000000"/>
          <w:szCs w:val="24"/>
          <w:lang w:val="en-GB" w:eastAsia="en-GB"/>
        </w:rPr>
        <w:t>tatement,</w:t>
      </w:r>
      <w:r w:rsidRPr="00642DC1">
        <w:rPr>
          <w:rFonts w:ascii="Arial" w:hAnsi="Arial" w:cs="Arial"/>
          <w:color w:val="000000"/>
          <w:szCs w:val="24"/>
          <w:lang w:val="en-GB" w:eastAsia="en-GB"/>
        </w:rPr>
        <w:t xml:space="preserve"> the details of the managers appointed by the Committee are as follows</w:t>
      </w:r>
      <w:r w:rsidRPr="00642DC1">
        <w:rPr>
          <w:lang w:val="en-GB" w:eastAsia="en-GB"/>
        </w:rPr>
        <w:t>:</w:t>
      </w: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2510"/>
        <w:gridCol w:w="1439"/>
        <w:gridCol w:w="3248"/>
        <w:gridCol w:w="5062"/>
      </w:tblGrid>
      <w:tr w:rsidR="00352AFC" w:rsidRPr="00F04618" w14:paraId="2B93EE15" w14:textId="7B9D3BB7" w:rsidTr="00187ED6">
        <w:tc>
          <w:tcPr>
            <w:tcW w:w="433" w:type="pct"/>
            <w:shd w:val="clear" w:color="auto" w:fill="auto"/>
          </w:tcPr>
          <w:p w14:paraId="5E4EDD67" w14:textId="77777777"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center"/>
              <w:rPr>
                <w:rFonts w:ascii="Arial" w:hAnsi="Arial" w:cs="Arial"/>
                <w:b/>
                <w:sz w:val="20"/>
              </w:rPr>
            </w:pPr>
            <w:r w:rsidRPr="00F04618">
              <w:rPr>
                <w:rFonts w:ascii="Arial" w:hAnsi="Arial" w:cs="Arial"/>
                <w:b/>
                <w:sz w:val="20"/>
              </w:rPr>
              <w:lastRenderedPageBreak/>
              <w:t>Manager</w:t>
            </w:r>
          </w:p>
        </w:tc>
        <w:tc>
          <w:tcPr>
            <w:tcW w:w="935" w:type="pct"/>
            <w:shd w:val="clear" w:color="auto" w:fill="auto"/>
          </w:tcPr>
          <w:p w14:paraId="1290A73D" w14:textId="77777777"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center"/>
              <w:rPr>
                <w:rFonts w:ascii="Arial" w:hAnsi="Arial" w:cs="Arial"/>
                <w:b/>
                <w:sz w:val="20"/>
              </w:rPr>
            </w:pPr>
            <w:r w:rsidRPr="00F04618">
              <w:rPr>
                <w:rFonts w:ascii="Arial" w:hAnsi="Arial" w:cs="Arial"/>
                <w:b/>
                <w:sz w:val="20"/>
              </w:rPr>
              <w:t>Asset Class</w:t>
            </w:r>
          </w:p>
        </w:tc>
        <w:tc>
          <w:tcPr>
            <w:tcW w:w="536" w:type="pct"/>
          </w:tcPr>
          <w:p w14:paraId="6E01A3D8" w14:textId="3427FE48"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center"/>
              <w:rPr>
                <w:rFonts w:ascii="Arial" w:hAnsi="Arial" w:cs="Arial"/>
                <w:b/>
                <w:sz w:val="20"/>
              </w:rPr>
            </w:pPr>
            <w:r>
              <w:rPr>
                <w:rFonts w:ascii="Arial" w:hAnsi="Arial" w:cs="Arial"/>
                <w:b/>
                <w:sz w:val="20"/>
              </w:rPr>
              <w:t xml:space="preserve">Management </w:t>
            </w:r>
            <w:r>
              <w:rPr>
                <w:rFonts w:ascii="Arial" w:hAnsi="Arial" w:cs="Arial"/>
                <w:b/>
                <w:sz w:val="20"/>
              </w:rPr>
              <w:br/>
              <w:t>Approach</w:t>
            </w:r>
          </w:p>
        </w:tc>
        <w:tc>
          <w:tcPr>
            <w:tcW w:w="1210" w:type="pct"/>
            <w:shd w:val="clear" w:color="auto" w:fill="auto"/>
          </w:tcPr>
          <w:p w14:paraId="526C9B70" w14:textId="39F458DB"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center"/>
              <w:rPr>
                <w:rFonts w:ascii="Arial" w:hAnsi="Arial" w:cs="Arial"/>
                <w:b/>
                <w:sz w:val="20"/>
              </w:rPr>
            </w:pPr>
            <w:r w:rsidRPr="00F04618">
              <w:rPr>
                <w:rFonts w:ascii="Arial" w:hAnsi="Arial" w:cs="Arial"/>
                <w:b/>
                <w:sz w:val="20"/>
              </w:rPr>
              <w:t>Benchmark</w:t>
            </w:r>
          </w:p>
        </w:tc>
        <w:tc>
          <w:tcPr>
            <w:tcW w:w="1886" w:type="pct"/>
          </w:tcPr>
          <w:p w14:paraId="5A08E3EC" w14:textId="02B16A29"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center"/>
              <w:rPr>
                <w:rFonts w:ascii="Arial" w:hAnsi="Arial" w:cs="Arial"/>
                <w:b/>
                <w:sz w:val="20"/>
              </w:rPr>
            </w:pPr>
            <w:r>
              <w:rPr>
                <w:rFonts w:ascii="Arial" w:hAnsi="Arial" w:cs="Arial"/>
                <w:b/>
                <w:sz w:val="20"/>
              </w:rPr>
              <w:t>T</w:t>
            </w:r>
            <w:r>
              <w:rPr>
                <w:b/>
                <w:sz w:val="20"/>
              </w:rPr>
              <w:t>arget</w:t>
            </w:r>
          </w:p>
        </w:tc>
      </w:tr>
      <w:tr w:rsidR="00352AFC" w:rsidRPr="00F04618" w14:paraId="1A1D47A1" w14:textId="221CCC19" w:rsidTr="00187ED6">
        <w:tc>
          <w:tcPr>
            <w:tcW w:w="433" w:type="pct"/>
            <w:shd w:val="clear" w:color="auto" w:fill="auto"/>
          </w:tcPr>
          <w:p w14:paraId="4913AD4A" w14:textId="77777777"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London CIV</w:t>
            </w:r>
          </w:p>
        </w:tc>
        <w:tc>
          <w:tcPr>
            <w:tcW w:w="935" w:type="pct"/>
            <w:shd w:val="clear" w:color="auto" w:fill="auto"/>
          </w:tcPr>
          <w:p w14:paraId="12EBC754" w14:textId="69B27FC2" w:rsidR="00455FC9" w:rsidRPr="00F04618" w:rsidRDefault="00455FC9"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Pr>
                <w:rFonts w:ascii="Arial" w:hAnsi="Arial" w:cs="Arial"/>
                <w:sz w:val="20"/>
              </w:rPr>
              <w:t>Global Equities (Longview)</w:t>
            </w:r>
          </w:p>
        </w:tc>
        <w:tc>
          <w:tcPr>
            <w:tcW w:w="536" w:type="pct"/>
          </w:tcPr>
          <w:p w14:paraId="6780A14D" w14:textId="55B1CCBD" w:rsidR="00455FC9" w:rsidRPr="00F007A1"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Active</w:t>
            </w:r>
          </w:p>
        </w:tc>
        <w:tc>
          <w:tcPr>
            <w:tcW w:w="1210" w:type="pct"/>
            <w:shd w:val="clear" w:color="auto" w:fill="auto"/>
          </w:tcPr>
          <w:p w14:paraId="7A4A9404" w14:textId="5E300A2D"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F007A1">
              <w:rPr>
                <w:rFonts w:ascii="Arial" w:hAnsi="Arial" w:cs="Arial"/>
                <w:sz w:val="20"/>
              </w:rPr>
              <w:t xml:space="preserve">MSCI World </w:t>
            </w:r>
            <w:r>
              <w:rPr>
                <w:rFonts w:ascii="Arial" w:hAnsi="Arial" w:cs="Arial"/>
                <w:sz w:val="20"/>
              </w:rPr>
              <w:t xml:space="preserve">Index </w:t>
            </w:r>
            <w:r w:rsidRPr="00F007A1">
              <w:rPr>
                <w:rFonts w:ascii="Arial" w:hAnsi="Arial" w:cs="Arial"/>
                <w:sz w:val="20"/>
              </w:rPr>
              <w:t>(GBP)</w:t>
            </w:r>
            <w:r>
              <w:rPr>
                <w:rFonts w:ascii="Arial" w:hAnsi="Arial" w:cs="Arial"/>
                <w:sz w:val="20"/>
              </w:rPr>
              <w:t xml:space="preserve"> </w:t>
            </w:r>
            <w:r w:rsidRPr="00F007A1">
              <w:rPr>
                <w:rFonts w:ascii="Arial" w:hAnsi="Arial" w:cs="Arial"/>
                <w:sz w:val="20"/>
              </w:rPr>
              <w:t>T</w:t>
            </w:r>
            <w:r w:rsidR="006B589D">
              <w:rPr>
                <w:rFonts w:ascii="Arial" w:hAnsi="Arial" w:cs="Arial"/>
                <w:sz w:val="20"/>
              </w:rPr>
              <w:t>otal Return (</w:t>
            </w:r>
            <w:r w:rsidRPr="00F007A1">
              <w:rPr>
                <w:rFonts w:ascii="Arial" w:hAnsi="Arial" w:cs="Arial"/>
                <w:sz w:val="20"/>
              </w:rPr>
              <w:t>Net)</w:t>
            </w:r>
          </w:p>
        </w:tc>
        <w:tc>
          <w:tcPr>
            <w:tcW w:w="1886" w:type="pct"/>
          </w:tcPr>
          <w:p w14:paraId="45CE9C1F" w14:textId="7E18E9CE" w:rsidR="00455FC9" w:rsidRPr="00F007A1" w:rsidRDefault="00B63F06"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Achieve capital growth</w:t>
            </w:r>
          </w:p>
        </w:tc>
      </w:tr>
      <w:tr w:rsidR="00352AFC" w:rsidRPr="00F04618" w14:paraId="72915692" w14:textId="22481E37" w:rsidTr="00187ED6">
        <w:tc>
          <w:tcPr>
            <w:tcW w:w="433" w:type="pct"/>
            <w:shd w:val="clear" w:color="auto" w:fill="auto"/>
          </w:tcPr>
          <w:p w14:paraId="7051ADCC" w14:textId="77777777" w:rsidR="00455FC9"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p>
        </w:tc>
        <w:tc>
          <w:tcPr>
            <w:tcW w:w="935" w:type="pct"/>
            <w:shd w:val="clear" w:color="auto" w:fill="auto"/>
          </w:tcPr>
          <w:p w14:paraId="088561CD" w14:textId="3A1AEF3A" w:rsidR="00455FC9" w:rsidRDefault="00455FC9"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Pr>
                <w:rFonts w:ascii="Arial" w:hAnsi="Arial" w:cs="Arial"/>
                <w:sz w:val="20"/>
              </w:rPr>
              <w:t>Global Equities (RBC)</w:t>
            </w:r>
          </w:p>
        </w:tc>
        <w:tc>
          <w:tcPr>
            <w:tcW w:w="536" w:type="pct"/>
          </w:tcPr>
          <w:p w14:paraId="6FEDCB2F" w14:textId="6896CAE7" w:rsidR="00455FC9" w:rsidRPr="00F007A1"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Active, Sustainable</w:t>
            </w:r>
          </w:p>
        </w:tc>
        <w:tc>
          <w:tcPr>
            <w:tcW w:w="1210" w:type="pct"/>
            <w:shd w:val="clear" w:color="auto" w:fill="auto"/>
          </w:tcPr>
          <w:p w14:paraId="00059E2A" w14:textId="4CB8FDCF" w:rsidR="00455FC9"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F007A1">
              <w:rPr>
                <w:rFonts w:ascii="Arial" w:hAnsi="Arial" w:cs="Arial"/>
                <w:sz w:val="20"/>
              </w:rPr>
              <w:t>MSCI World Index Total Return (Net) in GBP</w:t>
            </w:r>
          </w:p>
        </w:tc>
        <w:tc>
          <w:tcPr>
            <w:tcW w:w="1886" w:type="pct"/>
          </w:tcPr>
          <w:p w14:paraId="43BBEC5C" w14:textId="245B7FA3" w:rsidR="00455FC9" w:rsidRPr="00F007A1" w:rsidRDefault="00B63F06"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Outperform the benchmark by 2% p.a. (net) over rolling 3 year periods</w:t>
            </w:r>
          </w:p>
        </w:tc>
      </w:tr>
      <w:tr w:rsidR="006B589D" w:rsidRPr="00F04618" w14:paraId="4ADF39B3" w14:textId="77777777" w:rsidTr="00187ED6">
        <w:tc>
          <w:tcPr>
            <w:tcW w:w="433" w:type="pct"/>
            <w:shd w:val="clear" w:color="auto" w:fill="auto"/>
          </w:tcPr>
          <w:p w14:paraId="56D480E7" w14:textId="77777777" w:rsidR="006B589D" w:rsidRPr="006B589D" w:rsidRDefault="006B589D"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color w:val="FF0000"/>
                <w:sz w:val="20"/>
              </w:rPr>
            </w:pPr>
          </w:p>
        </w:tc>
        <w:tc>
          <w:tcPr>
            <w:tcW w:w="935" w:type="pct"/>
            <w:shd w:val="clear" w:color="auto" w:fill="auto"/>
          </w:tcPr>
          <w:p w14:paraId="31620E9D" w14:textId="72DA6DFD" w:rsidR="006B589D" w:rsidRPr="00C43E42" w:rsidRDefault="006B589D"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sidRPr="00C43E42">
              <w:rPr>
                <w:rFonts w:ascii="Arial" w:hAnsi="Arial" w:cs="Arial"/>
                <w:sz w:val="20"/>
              </w:rPr>
              <w:t>Emerging Market Equities (JP Morgan)</w:t>
            </w:r>
          </w:p>
        </w:tc>
        <w:tc>
          <w:tcPr>
            <w:tcW w:w="536" w:type="pct"/>
          </w:tcPr>
          <w:p w14:paraId="19D757B5" w14:textId="4ED2760D" w:rsidR="006B589D" w:rsidRPr="00C43E42" w:rsidRDefault="006B589D"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C43E42">
              <w:rPr>
                <w:rFonts w:ascii="Arial" w:hAnsi="Arial" w:cs="Arial"/>
                <w:sz w:val="20"/>
              </w:rPr>
              <w:t>A</w:t>
            </w:r>
            <w:r w:rsidRPr="00C43E42">
              <w:rPr>
                <w:sz w:val="20"/>
              </w:rPr>
              <w:t>ctive</w:t>
            </w:r>
          </w:p>
        </w:tc>
        <w:tc>
          <w:tcPr>
            <w:tcW w:w="1210" w:type="pct"/>
            <w:shd w:val="clear" w:color="auto" w:fill="auto"/>
          </w:tcPr>
          <w:p w14:paraId="754C76D8" w14:textId="6745D080" w:rsidR="006B589D" w:rsidRPr="00C43E42" w:rsidRDefault="006B589D"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C43E42">
              <w:rPr>
                <w:rFonts w:ascii="Arial" w:hAnsi="Arial" w:cs="Arial"/>
                <w:sz w:val="20"/>
              </w:rPr>
              <w:t>MSCI Emerging Market Index Total Return (Net) in GBP</w:t>
            </w:r>
          </w:p>
        </w:tc>
        <w:tc>
          <w:tcPr>
            <w:tcW w:w="1886" w:type="pct"/>
          </w:tcPr>
          <w:p w14:paraId="1178303C" w14:textId="3831AE17" w:rsidR="006B589D" w:rsidRPr="00C43E42" w:rsidRDefault="006B589D"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C43E42">
              <w:rPr>
                <w:rFonts w:ascii="Arial" w:hAnsi="Arial" w:cs="Arial"/>
                <w:sz w:val="20"/>
              </w:rPr>
              <w:t xml:space="preserve">Outperform the benchmark </w:t>
            </w:r>
            <w:r w:rsidR="00C7485F" w:rsidRPr="00C43E42">
              <w:rPr>
                <w:rFonts w:ascii="Arial" w:hAnsi="Arial" w:cs="Arial"/>
                <w:sz w:val="20"/>
              </w:rPr>
              <w:t xml:space="preserve">by 2.5% </w:t>
            </w:r>
            <w:r w:rsidRPr="00C43E42">
              <w:rPr>
                <w:rFonts w:ascii="Arial" w:hAnsi="Arial" w:cs="Arial"/>
                <w:sz w:val="20"/>
              </w:rPr>
              <w:t>(net</w:t>
            </w:r>
            <w:r w:rsidR="00C7485F" w:rsidRPr="00C43E42">
              <w:rPr>
                <w:rFonts w:ascii="Arial" w:hAnsi="Arial" w:cs="Arial"/>
                <w:sz w:val="20"/>
              </w:rPr>
              <w:t xml:space="preserve"> of fees</w:t>
            </w:r>
            <w:r w:rsidRPr="00C43E42">
              <w:rPr>
                <w:rFonts w:ascii="Arial" w:hAnsi="Arial" w:cs="Arial"/>
                <w:sz w:val="20"/>
              </w:rPr>
              <w:t xml:space="preserve">) </w:t>
            </w:r>
            <w:r w:rsidR="00C7485F" w:rsidRPr="00C43E42">
              <w:rPr>
                <w:rFonts w:ascii="Arial" w:hAnsi="Arial" w:cs="Arial"/>
                <w:sz w:val="20"/>
              </w:rPr>
              <w:t>over a rolling 3 year period</w:t>
            </w:r>
          </w:p>
        </w:tc>
      </w:tr>
      <w:tr w:rsidR="00352AFC" w:rsidRPr="00F04618" w14:paraId="0A32B538" w14:textId="1B677119" w:rsidTr="00187ED6">
        <w:tc>
          <w:tcPr>
            <w:tcW w:w="433" w:type="pct"/>
            <w:shd w:val="clear" w:color="auto" w:fill="auto"/>
          </w:tcPr>
          <w:p w14:paraId="4CB30A6A" w14:textId="77777777"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p>
        </w:tc>
        <w:tc>
          <w:tcPr>
            <w:tcW w:w="935" w:type="pct"/>
            <w:shd w:val="clear" w:color="auto" w:fill="auto"/>
          </w:tcPr>
          <w:p w14:paraId="0BA35103" w14:textId="36585811" w:rsidR="00455FC9" w:rsidRPr="00F04618" w:rsidRDefault="00455FC9"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Pr>
                <w:rFonts w:ascii="Arial" w:hAnsi="Arial" w:cs="Arial"/>
                <w:sz w:val="20"/>
              </w:rPr>
              <w:t>Global Credit (PIMCO)</w:t>
            </w:r>
          </w:p>
        </w:tc>
        <w:tc>
          <w:tcPr>
            <w:tcW w:w="536" w:type="pct"/>
          </w:tcPr>
          <w:p w14:paraId="4D395E22" w14:textId="2849654A" w:rsidR="00455FC9" w:rsidRPr="00F007A1"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Active</w:t>
            </w:r>
          </w:p>
        </w:tc>
        <w:tc>
          <w:tcPr>
            <w:tcW w:w="1210" w:type="pct"/>
            <w:shd w:val="clear" w:color="auto" w:fill="auto"/>
          </w:tcPr>
          <w:p w14:paraId="1367A507" w14:textId="1098B3E0"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F007A1">
              <w:rPr>
                <w:rFonts w:ascii="Arial" w:hAnsi="Arial" w:cs="Arial"/>
                <w:sz w:val="20"/>
              </w:rPr>
              <w:t>Barclays Aggregate – Credit Index Hedged (GBP) Index</w:t>
            </w:r>
          </w:p>
        </w:tc>
        <w:tc>
          <w:tcPr>
            <w:tcW w:w="1886" w:type="pct"/>
          </w:tcPr>
          <w:p w14:paraId="6A6A803B" w14:textId="0038BAE7" w:rsidR="00455FC9" w:rsidRPr="00F007A1" w:rsidRDefault="00B63F06"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Outperform the benchmark over a rolling 3 year period (net of fees)</w:t>
            </w:r>
          </w:p>
        </w:tc>
      </w:tr>
      <w:tr w:rsidR="00352AFC" w:rsidRPr="00F04618" w14:paraId="4E2005AF" w14:textId="12C64176" w:rsidTr="00187ED6">
        <w:tc>
          <w:tcPr>
            <w:tcW w:w="433" w:type="pct"/>
            <w:shd w:val="clear" w:color="auto" w:fill="auto"/>
          </w:tcPr>
          <w:p w14:paraId="3BD7072C" w14:textId="77777777"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p>
        </w:tc>
        <w:tc>
          <w:tcPr>
            <w:tcW w:w="935" w:type="pct"/>
            <w:shd w:val="clear" w:color="auto" w:fill="auto"/>
          </w:tcPr>
          <w:p w14:paraId="433AFFAC" w14:textId="7C069560" w:rsidR="00455FC9" w:rsidRDefault="00455FC9"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Pr>
                <w:rFonts w:ascii="Arial" w:hAnsi="Arial" w:cs="Arial"/>
                <w:sz w:val="20"/>
              </w:rPr>
              <w:t>Multi-Asset Credit</w:t>
            </w:r>
            <w:r w:rsidR="00352AFC">
              <w:rPr>
                <w:rFonts w:ascii="Arial" w:hAnsi="Arial" w:cs="Arial"/>
                <w:sz w:val="20"/>
              </w:rPr>
              <w:t xml:space="preserve"> </w:t>
            </w:r>
            <w:r>
              <w:rPr>
                <w:rFonts w:ascii="Arial" w:hAnsi="Arial" w:cs="Arial"/>
                <w:sz w:val="20"/>
              </w:rPr>
              <w:t>(CQS)</w:t>
            </w:r>
          </w:p>
        </w:tc>
        <w:tc>
          <w:tcPr>
            <w:tcW w:w="536" w:type="pct"/>
          </w:tcPr>
          <w:p w14:paraId="3993FA5C" w14:textId="22BFA1B9" w:rsidR="00455FC9" w:rsidRPr="001F4FE1"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Active</w:t>
            </w:r>
          </w:p>
        </w:tc>
        <w:tc>
          <w:tcPr>
            <w:tcW w:w="1210" w:type="pct"/>
            <w:shd w:val="clear" w:color="auto" w:fill="auto"/>
          </w:tcPr>
          <w:p w14:paraId="496F4E6A" w14:textId="239D71B9" w:rsidR="00455FC9"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642DC1">
              <w:rPr>
                <w:rFonts w:ascii="Arial" w:hAnsi="Arial" w:cs="Arial"/>
                <w:sz w:val="20"/>
              </w:rPr>
              <w:t>SONIA</w:t>
            </w:r>
          </w:p>
        </w:tc>
        <w:tc>
          <w:tcPr>
            <w:tcW w:w="1886" w:type="pct"/>
          </w:tcPr>
          <w:p w14:paraId="5ACA002A" w14:textId="507419C5" w:rsidR="00455FC9" w:rsidRPr="00642DC1"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642DC1">
              <w:rPr>
                <w:rFonts w:ascii="Arial" w:hAnsi="Arial" w:cs="Arial"/>
                <w:sz w:val="20"/>
              </w:rPr>
              <w:t>SONIA +4.5%</w:t>
            </w:r>
            <w:r w:rsidR="00B63F06">
              <w:rPr>
                <w:rFonts w:ascii="Arial" w:hAnsi="Arial" w:cs="Arial"/>
                <w:sz w:val="20"/>
              </w:rPr>
              <w:t>, with volatility of 4%-6% p.a. over rolling 4 year period (net of fees)</w:t>
            </w:r>
          </w:p>
        </w:tc>
      </w:tr>
      <w:tr w:rsidR="00352AFC" w:rsidRPr="00F04618" w14:paraId="1AA9A532" w14:textId="12754339" w:rsidTr="00187ED6">
        <w:tc>
          <w:tcPr>
            <w:tcW w:w="433" w:type="pct"/>
            <w:shd w:val="clear" w:color="auto" w:fill="auto"/>
          </w:tcPr>
          <w:p w14:paraId="750E2577" w14:textId="77777777"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p>
        </w:tc>
        <w:tc>
          <w:tcPr>
            <w:tcW w:w="935" w:type="pct"/>
            <w:shd w:val="clear" w:color="auto" w:fill="auto"/>
          </w:tcPr>
          <w:p w14:paraId="3AC04A41" w14:textId="10E2FA03" w:rsidR="00455FC9" w:rsidRDefault="00455FC9"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Pr>
                <w:rFonts w:ascii="Arial" w:hAnsi="Arial" w:cs="Arial"/>
                <w:sz w:val="20"/>
              </w:rPr>
              <w:t>Infrastructure (Stepstone)</w:t>
            </w:r>
          </w:p>
        </w:tc>
        <w:tc>
          <w:tcPr>
            <w:tcW w:w="536" w:type="pct"/>
          </w:tcPr>
          <w:p w14:paraId="632D37B5" w14:textId="2CAC07E1" w:rsidR="00455FC9"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Active</w:t>
            </w:r>
          </w:p>
        </w:tc>
        <w:tc>
          <w:tcPr>
            <w:tcW w:w="3096" w:type="pct"/>
            <w:gridSpan w:val="2"/>
            <w:shd w:val="clear" w:color="auto" w:fill="auto"/>
          </w:tcPr>
          <w:p w14:paraId="37A08DC4" w14:textId="0A58DF6A" w:rsidR="00455FC9" w:rsidRDefault="00455FC9" w:rsidP="00506D6B">
            <w:pPr>
              <w:keepNext/>
              <w:tabs>
                <w:tab w:val="left" w:pos="-1134"/>
                <w:tab w:val="left" w:pos="-414"/>
                <w:tab w:val="left" w:pos="0"/>
                <w:tab w:val="left" w:pos="1312"/>
                <w:tab w:val="left" w:pos="1804"/>
                <w:tab w:val="left" w:pos="6761"/>
              </w:tabs>
              <w:suppressAutoHyphens/>
              <w:spacing w:before="20" w:after="20" w:line="264" w:lineRule="auto"/>
              <w:jc w:val="center"/>
              <w:rPr>
                <w:rFonts w:ascii="Arial" w:hAnsi="Arial" w:cs="Arial"/>
                <w:sz w:val="20"/>
              </w:rPr>
            </w:pPr>
            <w:r>
              <w:rPr>
                <w:rFonts w:ascii="Arial" w:hAnsi="Arial" w:cs="Arial"/>
                <w:sz w:val="20"/>
              </w:rPr>
              <w:t>8% - 10% p.a. and cash yield of 4% - 6% p.a.</w:t>
            </w:r>
          </w:p>
        </w:tc>
      </w:tr>
      <w:tr w:rsidR="00352AFC" w:rsidRPr="00F04618" w14:paraId="15F86F1A" w14:textId="256B6A8D" w:rsidTr="00187ED6">
        <w:tc>
          <w:tcPr>
            <w:tcW w:w="433" w:type="pct"/>
            <w:shd w:val="clear" w:color="auto" w:fill="auto"/>
          </w:tcPr>
          <w:p w14:paraId="35AEE5B6" w14:textId="77777777"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p>
        </w:tc>
        <w:tc>
          <w:tcPr>
            <w:tcW w:w="935" w:type="pct"/>
            <w:shd w:val="clear" w:color="auto" w:fill="auto"/>
          </w:tcPr>
          <w:p w14:paraId="11AF547B" w14:textId="3EA0B295" w:rsidR="00455FC9" w:rsidRDefault="00455FC9"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Pr>
                <w:rFonts w:ascii="Arial" w:hAnsi="Arial" w:cs="Arial"/>
                <w:sz w:val="20"/>
              </w:rPr>
              <w:t>Renewable Infrastructure</w:t>
            </w:r>
          </w:p>
        </w:tc>
        <w:tc>
          <w:tcPr>
            <w:tcW w:w="536" w:type="pct"/>
          </w:tcPr>
          <w:p w14:paraId="34189618" w14:textId="5EB71C20" w:rsidR="00455FC9"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Active</w:t>
            </w:r>
          </w:p>
        </w:tc>
        <w:tc>
          <w:tcPr>
            <w:tcW w:w="3096" w:type="pct"/>
            <w:gridSpan w:val="2"/>
            <w:shd w:val="clear" w:color="auto" w:fill="auto"/>
          </w:tcPr>
          <w:p w14:paraId="24E36E9A" w14:textId="3696A1A5" w:rsidR="00455FC9" w:rsidRDefault="00455FC9" w:rsidP="00506D6B">
            <w:pPr>
              <w:keepNext/>
              <w:tabs>
                <w:tab w:val="left" w:pos="-1134"/>
                <w:tab w:val="left" w:pos="-414"/>
                <w:tab w:val="left" w:pos="0"/>
                <w:tab w:val="left" w:pos="1312"/>
                <w:tab w:val="left" w:pos="1804"/>
                <w:tab w:val="left" w:pos="6761"/>
              </w:tabs>
              <w:suppressAutoHyphens/>
              <w:spacing w:before="20" w:after="20" w:line="264" w:lineRule="auto"/>
              <w:jc w:val="center"/>
              <w:rPr>
                <w:rFonts w:ascii="Arial" w:hAnsi="Arial" w:cs="Arial"/>
                <w:sz w:val="20"/>
              </w:rPr>
            </w:pPr>
            <w:r>
              <w:rPr>
                <w:rFonts w:ascii="Arial" w:hAnsi="Arial" w:cs="Arial"/>
                <w:sz w:val="20"/>
              </w:rPr>
              <w:t>7% - 10% p.a. and cash yield of 3% - 5% p.a.</w:t>
            </w:r>
          </w:p>
        </w:tc>
      </w:tr>
      <w:tr w:rsidR="00352AFC" w:rsidRPr="00F04618" w14:paraId="4A0C46EC" w14:textId="4416D972" w:rsidTr="00187ED6">
        <w:tc>
          <w:tcPr>
            <w:tcW w:w="433" w:type="pct"/>
            <w:shd w:val="clear" w:color="auto" w:fill="auto"/>
          </w:tcPr>
          <w:p w14:paraId="7933220A" w14:textId="77777777"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F04618">
              <w:rPr>
                <w:rFonts w:ascii="Arial" w:hAnsi="Arial" w:cs="Arial"/>
                <w:sz w:val="20"/>
              </w:rPr>
              <w:t>BlackRock</w:t>
            </w:r>
          </w:p>
        </w:tc>
        <w:tc>
          <w:tcPr>
            <w:tcW w:w="935" w:type="pct"/>
            <w:shd w:val="clear" w:color="auto" w:fill="auto"/>
          </w:tcPr>
          <w:p w14:paraId="39ADC049" w14:textId="77777777" w:rsidR="00455FC9" w:rsidRPr="00F04618" w:rsidRDefault="00455FC9"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sidRPr="00F04618">
              <w:rPr>
                <w:rFonts w:ascii="Arial" w:hAnsi="Arial" w:cs="Arial"/>
                <w:sz w:val="20"/>
              </w:rPr>
              <w:t xml:space="preserve">Global </w:t>
            </w:r>
            <w:r>
              <w:rPr>
                <w:rFonts w:ascii="Arial" w:hAnsi="Arial" w:cs="Arial"/>
                <w:sz w:val="20"/>
              </w:rPr>
              <w:t>Equities</w:t>
            </w:r>
          </w:p>
        </w:tc>
        <w:tc>
          <w:tcPr>
            <w:tcW w:w="536" w:type="pct"/>
          </w:tcPr>
          <w:p w14:paraId="57B4BF66" w14:textId="59C742BD" w:rsidR="00455FC9" w:rsidRPr="00411462"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Passive, Low Carbon</w:t>
            </w:r>
          </w:p>
        </w:tc>
        <w:tc>
          <w:tcPr>
            <w:tcW w:w="1210" w:type="pct"/>
            <w:shd w:val="clear" w:color="auto" w:fill="auto"/>
          </w:tcPr>
          <w:p w14:paraId="59B684AA" w14:textId="2E42E76B"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411462">
              <w:rPr>
                <w:rFonts w:ascii="Arial" w:hAnsi="Arial" w:cs="Arial"/>
                <w:sz w:val="20"/>
              </w:rPr>
              <w:t>MSCI Low Carbon Target Reduced Fossil Fuel Select Index</w:t>
            </w:r>
          </w:p>
        </w:tc>
        <w:tc>
          <w:tcPr>
            <w:tcW w:w="1886" w:type="pct"/>
          </w:tcPr>
          <w:p w14:paraId="3BA0B98A" w14:textId="3D819D14" w:rsidR="00455FC9" w:rsidRPr="00411462" w:rsidRDefault="008040F8"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Track the benchmark</w:t>
            </w:r>
          </w:p>
        </w:tc>
      </w:tr>
      <w:tr w:rsidR="00352AFC" w:rsidRPr="00F04618" w14:paraId="6121BF49" w14:textId="1FFAB5C8" w:rsidTr="00187ED6">
        <w:tc>
          <w:tcPr>
            <w:tcW w:w="433" w:type="pct"/>
            <w:shd w:val="clear" w:color="auto" w:fill="auto"/>
          </w:tcPr>
          <w:p w14:paraId="5409AB6B" w14:textId="77777777"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p>
        </w:tc>
        <w:tc>
          <w:tcPr>
            <w:tcW w:w="935" w:type="pct"/>
            <w:shd w:val="clear" w:color="auto" w:fill="auto"/>
          </w:tcPr>
          <w:p w14:paraId="1201FFFD" w14:textId="77777777" w:rsidR="00455FC9" w:rsidRPr="00F04618" w:rsidRDefault="00455FC9"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Pr>
                <w:rFonts w:ascii="Arial" w:hAnsi="Arial" w:cs="Arial"/>
                <w:sz w:val="20"/>
              </w:rPr>
              <w:t>UK Credit</w:t>
            </w:r>
          </w:p>
        </w:tc>
        <w:tc>
          <w:tcPr>
            <w:tcW w:w="536" w:type="pct"/>
          </w:tcPr>
          <w:p w14:paraId="70EA6DA7" w14:textId="48973AB7" w:rsidR="00455FC9" w:rsidRPr="005B599C"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Active</w:t>
            </w:r>
          </w:p>
        </w:tc>
        <w:tc>
          <w:tcPr>
            <w:tcW w:w="1210" w:type="pct"/>
            <w:shd w:val="clear" w:color="auto" w:fill="auto"/>
          </w:tcPr>
          <w:p w14:paraId="71C657C3" w14:textId="4C1F897D" w:rsidR="00455FC9" w:rsidRPr="00F04618" w:rsidRDefault="00455FC9"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5B599C">
              <w:rPr>
                <w:rFonts w:ascii="Arial" w:hAnsi="Arial" w:cs="Arial"/>
                <w:sz w:val="20"/>
              </w:rPr>
              <w:t>iBoxx Sterling non-Gilts 10+ Years Index</w:t>
            </w:r>
          </w:p>
        </w:tc>
        <w:tc>
          <w:tcPr>
            <w:tcW w:w="1886" w:type="pct"/>
          </w:tcPr>
          <w:p w14:paraId="701C7A8B" w14:textId="27E1C988" w:rsidR="00455FC9" w:rsidRPr="005B599C" w:rsidRDefault="0049564C" w:rsidP="00E9572D">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Outperform the benchmark over the long term (5 consecutive years)</w:t>
            </w:r>
          </w:p>
        </w:tc>
      </w:tr>
      <w:tr w:rsidR="00352AFC" w:rsidRPr="00F04618" w14:paraId="72B26FDF" w14:textId="0F960BE1" w:rsidTr="00187ED6">
        <w:tc>
          <w:tcPr>
            <w:tcW w:w="433" w:type="pct"/>
            <w:shd w:val="clear" w:color="auto" w:fill="auto"/>
          </w:tcPr>
          <w:p w14:paraId="66B43FA4" w14:textId="77777777" w:rsidR="008040F8" w:rsidRPr="00F04618"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p>
        </w:tc>
        <w:tc>
          <w:tcPr>
            <w:tcW w:w="935" w:type="pct"/>
            <w:shd w:val="clear" w:color="auto" w:fill="auto"/>
          </w:tcPr>
          <w:p w14:paraId="2BFA548A" w14:textId="77777777" w:rsidR="008040F8" w:rsidRPr="00F04618" w:rsidRDefault="008040F8"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Pr>
                <w:rFonts w:ascii="Arial" w:hAnsi="Arial" w:cs="Arial"/>
                <w:sz w:val="20"/>
              </w:rPr>
              <w:t>UK Index Linked Gilts</w:t>
            </w:r>
          </w:p>
        </w:tc>
        <w:tc>
          <w:tcPr>
            <w:tcW w:w="536" w:type="pct"/>
          </w:tcPr>
          <w:p w14:paraId="2973CAE2" w14:textId="743A9F2A" w:rsidR="008040F8" w:rsidRPr="005B599C"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Passive</w:t>
            </w:r>
          </w:p>
        </w:tc>
        <w:tc>
          <w:tcPr>
            <w:tcW w:w="1210" w:type="pct"/>
            <w:shd w:val="clear" w:color="auto" w:fill="auto"/>
          </w:tcPr>
          <w:p w14:paraId="3D8A036E" w14:textId="6C7D996D" w:rsidR="008040F8" w:rsidRPr="00F04618"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5B599C">
              <w:rPr>
                <w:rFonts w:ascii="Arial" w:hAnsi="Arial" w:cs="Arial"/>
                <w:sz w:val="20"/>
              </w:rPr>
              <w:t>FTSE Actuaries UK Index-Linked Gilts over 5 Years Index</w:t>
            </w:r>
          </w:p>
        </w:tc>
        <w:tc>
          <w:tcPr>
            <w:tcW w:w="1886" w:type="pct"/>
          </w:tcPr>
          <w:p w14:paraId="0A526114" w14:textId="272479DD" w:rsidR="008040F8" w:rsidRPr="005B599C"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Track the benchmark</w:t>
            </w:r>
          </w:p>
        </w:tc>
      </w:tr>
      <w:tr w:rsidR="00352AFC" w:rsidRPr="00F04618" w14:paraId="53A5FFC5" w14:textId="1562E16F" w:rsidTr="00187ED6">
        <w:tc>
          <w:tcPr>
            <w:tcW w:w="433" w:type="pct"/>
            <w:shd w:val="clear" w:color="auto" w:fill="auto"/>
          </w:tcPr>
          <w:p w14:paraId="39081B22" w14:textId="77777777" w:rsidR="008040F8" w:rsidRPr="00974C84"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p>
        </w:tc>
        <w:tc>
          <w:tcPr>
            <w:tcW w:w="935" w:type="pct"/>
            <w:shd w:val="clear" w:color="auto" w:fill="auto"/>
          </w:tcPr>
          <w:p w14:paraId="0705ABD7" w14:textId="33E89F3B" w:rsidR="008040F8" w:rsidRPr="00974C84" w:rsidRDefault="008040F8"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sidRPr="00974C84">
              <w:rPr>
                <w:rFonts w:ascii="Arial" w:hAnsi="Arial" w:cs="Arial"/>
                <w:sz w:val="20"/>
              </w:rPr>
              <w:t>Cash*</w:t>
            </w:r>
          </w:p>
        </w:tc>
        <w:tc>
          <w:tcPr>
            <w:tcW w:w="536" w:type="pct"/>
          </w:tcPr>
          <w:p w14:paraId="7F9E0B54" w14:textId="6C33D6A3" w:rsidR="008040F8" w:rsidRPr="00974C84"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974C84">
              <w:rPr>
                <w:rFonts w:ascii="Arial" w:hAnsi="Arial" w:cs="Arial"/>
                <w:sz w:val="20"/>
              </w:rPr>
              <w:t>Passive</w:t>
            </w:r>
          </w:p>
        </w:tc>
        <w:tc>
          <w:tcPr>
            <w:tcW w:w="1210" w:type="pct"/>
            <w:shd w:val="clear" w:color="auto" w:fill="auto"/>
          </w:tcPr>
          <w:p w14:paraId="6D258681" w14:textId="450F3073" w:rsidR="008040F8" w:rsidRPr="00974C84" w:rsidRDefault="00F230C4"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974C84">
              <w:rPr>
                <w:rFonts w:ascii="Arial" w:hAnsi="Arial" w:cs="Arial"/>
                <w:sz w:val="20"/>
              </w:rPr>
              <w:t xml:space="preserve">Sterling Overnight Index Average Rate (SONIA) </w:t>
            </w:r>
          </w:p>
        </w:tc>
        <w:tc>
          <w:tcPr>
            <w:tcW w:w="1886" w:type="pct"/>
          </w:tcPr>
          <w:p w14:paraId="0D6F1666" w14:textId="49259A69" w:rsidR="008040F8" w:rsidRPr="00974C84" w:rsidRDefault="004975F5" w:rsidP="004975F5">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974C84">
              <w:rPr>
                <w:rFonts w:ascii="Arial" w:hAnsi="Arial" w:cs="Arial"/>
                <w:sz w:val="20"/>
              </w:rPr>
              <w:t>Maximise income on the investment consistent with maintaining capital and ensuring the underlying assets can easily be bought or sold in the market (in normal market conditions)</w:t>
            </w:r>
          </w:p>
        </w:tc>
      </w:tr>
      <w:tr w:rsidR="00352AFC" w:rsidRPr="00F04618" w14:paraId="522A8D90" w14:textId="194ECB6A" w:rsidTr="00187ED6">
        <w:tc>
          <w:tcPr>
            <w:tcW w:w="433" w:type="pct"/>
            <w:shd w:val="clear" w:color="auto" w:fill="auto"/>
          </w:tcPr>
          <w:p w14:paraId="7C1F83A1" w14:textId="2CA64F46" w:rsidR="008040F8" w:rsidRPr="000027F1" w:rsidRDefault="00F15620"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0027F1">
              <w:rPr>
                <w:rFonts w:ascii="Arial" w:hAnsi="Arial" w:cs="Arial"/>
                <w:sz w:val="20"/>
              </w:rPr>
              <w:t>M</w:t>
            </w:r>
            <w:r w:rsidR="003209F1">
              <w:rPr>
                <w:rFonts w:ascii="Arial" w:hAnsi="Arial" w:cs="Arial"/>
                <w:sz w:val="20"/>
              </w:rPr>
              <w:t>&amp;</w:t>
            </w:r>
            <w:r w:rsidRPr="000027F1">
              <w:rPr>
                <w:rFonts w:ascii="Arial" w:hAnsi="Arial" w:cs="Arial"/>
                <w:sz w:val="20"/>
              </w:rPr>
              <w:t>G</w:t>
            </w:r>
          </w:p>
        </w:tc>
        <w:tc>
          <w:tcPr>
            <w:tcW w:w="935" w:type="pct"/>
            <w:shd w:val="clear" w:color="auto" w:fill="auto"/>
          </w:tcPr>
          <w:p w14:paraId="6009B19F" w14:textId="4C4A9AEE" w:rsidR="008040F8" w:rsidRPr="000027F1" w:rsidRDefault="00F15620"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sidRPr="000027F1">
              <w:rPr>
                <w:rFonts w:ascii="Arial" w:hAnsi="Arial" w:cs="Arial"/>
                <w:sz w:val="20"/>
              </w:rPr>
              <w:t xml:space="preserve">Asset Backed </w:t>
            </w:r>
            <w:r w:rsidR="003209F1">
              <w:rPr>
                <w:rFonts w:ascii="Arial" w:hAnsi="Arial" w:cs="Arial"/>
                <w:sz w:val="20"/>
              </w:rPr>
              <w:t>Securities</w:t>
            </w:r>
          </w:p>
        </w:tc>
        <w:tc>
          <w:tcPr>
            <w:tcW w:w="536" w:type="pct"/>
          </w:tcPr>
          <w:p w14:paraId="6EEFFD98" w14:textId="23EBE310" w:rsidR="008040F8" w:rsidRPr="000027F1"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0027F1">
              <w:rPr>
                <w:rFonts w:ascii="Arial" w:hAnsi="Arial" w:cs="Arial"/>
                <w:sz w:val="20"/>
              </w:rPr>
              <w:t>Active</w:t>
            </w:r>
          </w:p>
        </w:tc>
        <w:tc>
          <w:tcPr>
            <w:tcW w:w="1210" w:type="pct"/>
            <w:shd w:val="clear" w:color="auto" w:fill="auto"/>
          </w:tcPr>
          <w:p w14:paraId="07E0B273" w14:textId="6A2084C5" w:rsidR="008040F8" w:rsidRPr="000027F1" w:rsidRDefault="0049564C"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0027F1">
              <w:rPr>
                <w:rFonts w:ascii="Arial" w:hAnsi="Arial" w:cs="Arial"/>
                <w:sz w:val="20"/>
              </w:rPr>
              <w:t>SONIA</w:t>
            </w:r>
          </w:p>
        </w:tc>
        <w:tc>
          <w:tcPr>
            <w:tcW w:w="1886" w:type="pct"/>
          </w:tcPr>
          <w:p w14:paraId="7EDE64A4" w14:textId="65267D44" w:rsidR="008040F8" w:rsidRPr="000027F1" w:rsidRDefault="0049564C"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0027F1">
              <w:rPr>
                <w:rFonts w:ascii="Arial" w:hAnsi="Arial" w:cs="Arial"/>
                <w:sz w:val="20"/>
              </w:rPr>
              <w:t xml:space="preserve">SONIA + </w:t>
            </w:r>
            <w:r w:rsidR="00781BA9" w:rsidRPr="000027F1">
              <w:rPr>
                <w:rFonts w:ascii="Arial" w:hAnsi="Arial" w:cs="Arial"/>
                <w:sz w:val="20"/>
              </w:rPr>
              <w:t>1-2</w:t>
            </w:r>
            <w:r w:rsidRPr="000027F1">
              <w:rPr>
                <w:rFonts w:ascii="Arial" w:hAnsi="Arial" w:cs="Arial"/>
                <w:sz w:val="20"/>
              </w:rPr>
              <w:t>% p.a. gross of fees</w:t>
            </w:r>
            <w:r w:rsidR="00E11316" w:rsidRPr="000027F1">
              <w:rPr>
                <w:rFonts w:ascii="Arial" w:hAnsi="Arial" w:cs="Arial"/>
                <w:sz w:val="20"/>
              </w:rPr>
              <w:t xml:space="preserve"> over a cycle</w:t>
            </w:r>
          </w:p>
        </w:tc>
      </w:tr>
      <w:tr w:rsidR="00352AFC" w:rsidRPr="00F04618" w14:paraId="62E61041" w14:textId="34C7DE31" w:rsidTr="00187ED6">
        <w:tc>
          <w:tcPr>
            <w:tcW w:w="433" w:type="pct"/>
            <w:shd w:val="clear" w:color="auto" w:fill="auto"/>
          </w:tcPr>
          <w:p w14:paraId="1D7873F4" w14:textId="1428471C" w:rsidR="008040F8" w:rsidRPr="00974C84"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974C84">
              <w:rPr>
                <w:rFonts w:ascii="Arial" w:hAnsi="Arial" w:cs="Arial"/>
                <w:sz w:val="20"/>
              </w:rPr>
              <w:t>La Salle</w:t>
            </w:r>
          </w:p>
        </w:tc>
        <w:tc>
          <w:tcPr>
            <w:tcW w:w="935" w:type="pct"/>
            <w:shd w:val="clear" w:color="auto" w:fill="auto"/>
          </w:tcPr>
          <w:p w14:paraId="31052498" w14:textId="683CAC00" w:rsidR="008040F8" w:rsidRPr="00974C84" w:rsidRDefault="008040F8"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sidRPr="00974C84">
              <w:rPr>
                <w:rFonts w:ascii="Arial" w:hAnsi="Arial" w:cs="Arial"/>
                <w:sz w:val="20"/>
              </w:rPr>
              <w:t>Property</w:t>
            </w:r>
          </w:p>
        </w:tc>
        <w:tc>
          <w:tcPr>
            <w:tcW w:w="536" w:type="pct"/>
          </w:tcPr>
          <w:p w14:paraId="0F356813" w14:textId="78115D98" w:rsidR="008040F8" w:rsidRPr="00974C84"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974C84">
              <w:rPr>
                <w:rFonts w:ascii="Arial" w:hAnsi="Arial" w:cs="Arial"/>
                <w:sz w:val="20"/>
              </w:rPr>
              <w:t>Active</w:t>
            </w:r>
          </w:p>
        </w:tc>
        <w:tc>
          <w:tcPr>
            <w:tcW w:w="1210" w:type="pct"/>
            <w:shd w:val="clear" w:color="auto" w:fill="auto"/>
          </w:tcPr>
          <w:p w14:paraId="2D59A39A" w14:textId="2F3BB21B" w:rsidR="008040F8" w:rsidRPr="00974C84" w:rsidRDefault="0049564C"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974C84">
              <w:rPr>
                <w:rFonts w:ascii="Arial" w:hAnsi="Arial" w:cs="Arial"/>
                <w:sz w:val="20"/>
              </w:rPr>
              <w:t>MSCI/</w:t>
            </w:r>
            <w:r w:rsidR="008040F8" w:rsidRPr="00974C84">
              <w:rPr>
                <w:rFonts w:ascii="Arial" w:hAnsi="Arial" w:cs="Arial"/>
                <w:sz w:val="20"/>
              </w:rPr>
              <w:t xml:space="preserve">AREF All </w:t>
            </w:r>
            <w:r w:rsidRPr="00974C84">
              <w:rPr>
                <w:rFonts w:ascii="Arial" w:hAnsi="Arial" w:cs="Arial"/>
                <w:sz w:val="20"/>
              </w:rPr>
              <w:t xml:space="preserve">Property </w:t>
            </w:r>
            <w:r w:rsidR="008040F8" w:rsidRPr="00974C84">
              <w:rPr>
                <w:rFonts w:ascii="Arial" w:hAnsi="Arial" w:cs="Arial"/>
                <w:sz w:val="20"/>
              </w:rPr>
              <w:t>Fund Index</w:t>
            </w:r>
          </w:p>
        </w:tc>
        <w:tc>
          <w:tcPr>
            <w:tcW w:w="1886" w:type="pct"/>
          </w:tcPr>
          <w:p w14:paraId="72A3C5F4" w14:textId="2CCB75D1" w:rsidR="008040F8" w:rsidRPr="00974C84" w:rsidRDefault="0049564C" w:rsidP="0049564C">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974C84">
              <w:rPr>
                <w:rFonts w:ascii="Arial" w:hAnsi="Arial" w:cs="Arial"/>
                <w:sz w:val="20"/>
              </w:rPr>
              <w:t>Outperform the benchmark, by maximising total return through a combination of capital growth and income return.</w:t>
            </w:r>
          </w:p>
        </w:tc>
      </w:tr>
      <w:tr w:rsidR="00352AFC" w:rsidRPr="00F04618" w14:paraId="43EE853B" w14:textId="0FEE1EC6" w:rsidTr="00187ED6">
        <w:tc>
          <w:tcPr>
            <w:tcW w:w="433" w:type="pct"/>
            <w:shd w:val="clear" w:color="auto" w:fill="auto"/>
          </w:tcPr>
          <w:p w14:paraId="427AA0D8" w14:textId="425D57EA" w:rsidR="008040F8" w:rsidRPr="00F04618"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F04618">
              <w:rPr>
                <w:rFonts w:ascii="Arial" w:hAnsi="Arial" w:cs="Arial"/>
                <w:sz w:val="20"/>
              </w:rPr>
              <w:lastRenderedPageBreak/>
              <w:t>Pa</w:t>
            </w:r>
            <w:r>
              <w:rPr>
                <w:rFonts w:ascii="Arial" w:hAnsi="Arial" w:cs="Arial"/>
                <w:sz w:val="20"/>
              </w:rPr>
              <w:t>ntheon</w:t>
            </w:r>
          </w:p>
        </w:tc>
        <w:tc>
          <w:tcPr>
            <w:tcW w:w="935" w:type="pct"/>
            <w:shd w:val="clear" w:color="auto" w:fill="auto"/>
          </w:tcPr>
          <w:p w14:paraId="7579486C" w14:textId="77777777" w:rsidR="008040F8" w:rsidRPr="00F04618" w:rsidRDefault="008040F8" w:rsidP="00506D6B">
            <w:pPr>
              <w:keepNext/>
              <w:tabs>
                <w:tab w:val="left" w:pos="-1134"/>
                <w:tab w:val="left" w:pos="-414"/>
                <w:tab w:val="left" w:pos="0"/>
                <w:tab w:val="left" w:pos="1312"/>
                <w:tab w:val="left" w:pos="1804"/>
                <w:tab w:val="left" w:pos="6761"/>
              </w:tabs>
              <w:suppressAutoHyphens/>
              <w:spacing w:before="20" w:after="20" w:line="264" w:lineRule="auto"/>
              <w:rPr>
                <w:rFonts w:ascii="Arial" w:hAnsi="Arial" w:cs="Arial"/>
                <w:sz w:val="20"/>
              </w:rPr>
            </w:pPr>
            <w:r w:rsidRPr="00F04618">
              <w:rPr>
                <w:rFonts w:ascii="Arial" w:hAnsi="Arial" w:cs="Arial"/>
                <w:sz w:val="20"/>
              </w:rPr>
              <w:t>Private Equity</w:t>
            </w:r>
          </w:p>
        </w:tc>
        <w:tc>
          <w:tcPr>
            <w:tcW w:w="536" w:type="pct"/>
          </w:tcPr>
          <w:p w14:paraId="374B0760" w14:textId="4D408F4C" w:rsidR="008040F8" w:rsidRPr="00F04618" w:rsidRDefault="008040F8"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Active</w:t>
            </w:r>
          </w:p>
        </w:tc>
        <w:tc>
          <w:tcPr>
            <w:tcW w:w="1210" w:type="pct"/>
            <w:shd w:val="clear" w:color="auto" w:fill="auto"/>
          </w:tcPr>
          <w:p w14:paraId="7C4DD475" w14:textId="77777777" w:rsidR="008040F8" w:rsidRPr="00642DC1" w:rsidRDefault="008040F8" w:rsidP="008040F8">
            <w:pPr>
              <w:pStyle w:val="ListParagraph"/>
              <w:keepNext/>
              <w:numPr>
                <w:ilvl w:val="0"/>
                <w:numId w:val="37"/>
              </w:numPr>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642DC1">
              <w:rPr>
                <w:rFonts w:ascii="Arial" w:hAnsi="Arial" w:cs="Arial"/>
                <w:sz w:val="20"/>
              </w:rPr>
              <w:t>Europe Fund V ‘A’ LP - MSCI Europe Net TR; FTSE Europe Net TR</w:t>
            </w:r>
          </w:p>
          <w:p w14:paraId="09532718" w14:textId="77777777" w:rsidR="008040F8" w:rsidRDefault="008040F8" w:rsidP="008040F8">
            <w:pPr>
              <w:pStyle w:val="ListParagraph"/>
              <w:keepNext/>
              <w:numPr>
                <w:ilvl w:val="0"/>
                <w:numId w:val="37"/>
              </w:numPr>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642DC1">
              <w:rPr>
                <w:rFonts w:ascii="Arial" w:hAnsi="Arial" w:cs="Arial"/>
                <w:sz w:val="20"/>
              </w:rPr>
              <w:t>USA Fund VII LP – S&amp;P 500 Total Return Net Index; Russell 2000 Net TR; MSCI US Total Return Net Index</w:t>
            </w:r>
          </w:p>
          <w:p w14:paraId="48DC3BCA" w14:textId="00BD2B52" w:rsidR="008040F8" w:rsidRPr="00642DC1" w:rsidRDefault="008040F8" w:rsidP="008040F8">
            <w:pPr>
              <w:pStyle w:val="ListParagraph"/>
              <w:keepNext/>
              <w:numPr>
                <w:ilvl w:val="0"/>
                <w:numId w:val="37"/>
              </w:numPr>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642DC1">
              <w:rPr>
                <w:rFonts w:ascii="Arial" w:hAnsi="Arial" w:cs="Arial"/>
                <w:sz w:val="20"/>
              </w:rPr>
              <w:t xml:space="preserve">Global Secondary Fund III ‘A’ LP - FTSE All-World Net TR; MSCI AC World Net TR; </w:t>
            </w:r>
          </w:p>
        </w:tc>
        <w:tc>
          <w:tcPr>
            <w:tcW w:w="1886" w:type="pct"/>
          </w:tcPr>
          <w:p w14:paraId="46C12A3E" w14:textId="77777777" w:rsidR="00187ED6" w:rsidRPr="00903CD8" w:rsidRDefault="00187ED6" w:rsidP="00187ED6">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903CD8">
              <w:rPr>
                <w:rFonts w:ascii="Arial" w:hAnsi="Arial" w:cs="Arial"/>
                <w:sz w:val="20"/>
              </w:rPr>
              <w:t>Outperform the relevant benchmarks by 3-5%</w:t>
            </w:r>
          </w:p>
          <w:p w14:paraId="3D1F5298" w14:textId="3D2347B0" w:rsidR="003803D8" w:rsidRPr="00187ED6" w:rsidRDefault="003803D8" w:rsidP="00187ED6">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p>
        </w:tc>
      </w:tr>
      <w:tr w:rsidR="00352AFC" w:rsidRPr="00F04618" w14:paraId="45F5E059" w14:textId="75B061B0" w:rsidTr="00187ED6">
        <w:tc>
          <w:tcPr>
            <w:tcW w:w="433" w:type="pct"/>
            <w:shd w:val="clear" w:color="auto" w:fill="auto"/>
          </w:tcPr>
          <w:p w14:paraId="18D70694" w14:textId="5BD43B79" w:rsidR="0049564C" w:rsidRPr="00F04618" w:rsidRDefault="0049564C"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Record</w:t>
            </w:r>
          </w:p>
        </w:tc>
        <w:tc>
          <w:tcPr>
            <w:tcW w:w="935" w:type="pct"/>
            <w:shd w:val="clear" w:color="auto" w:fill="auto"/>
          </w:tcPr>
          <w:p w14:paraId="0C241850" w14:textId="0366DBF5" w:rsidR="0049564C" w:rsidRPr="00F04618" w:rsidRDefault="0049564C"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Currency Hedging</w:t>
            </w:r>
          </w:p>
        </w:tc>
        <w:tc>
          <w:tcPr>
            <w:tcW w:w="536" w:type="pct"/>
          </w:tcPr>
          <w:p w14:paraId="5FC55F8C" w14:textId="299BF102" w:rsidR="0049564C" w:rsidRDefault="0049564C"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Pr>
                <w:rFonts w:ascii="Arial" w:hAnsi="Arial" w:cs="Arial"/>
                <w:sz w:val="20"/>
              </w:rPr>
              <w:t>Passive</w:t>
            </w:r>
          </w:p>
        </w:tc>
        <w:tc>
          <w:tcPr>
            <w:tcW w:w="3096" w:type="pct"/>
            <w:gridSpan w:val="2"/>
            <w:shd w:val="clear" w:color="auto" w:fill="auto"/>
          </w:tcPr>
          <w:p w14:paraId="0AA0A04A" w14:textId="58389D7F" w:rsidR="0049564C" w:rsidRPr="00642DC1" w:rsidRDefault="0049564C" w:rsidP="008040F8">
            <w:pPr>
              <w:keepNext/>
              <w:tabs>
                <w:tab w:val="left" w:pos="-1134"/>
                <w:tab w:val="left" w:pos="-414"/>
                <w:tab w:val="left" w:pos="0"/>
                <w:tab w:val="left" w:pos="1312"/>
                <w:tab w:val="left" w:pos="1804"/>
                <w:tab w:val="left" w:pos="6761"/>
              </w:tabs>
              <w:suppressAutoHyphens/>
              <w:spacing w:before="20" w:after="20" w:line="264" w:lineRule="auto"/>
              <w:jc w:val="both"/>
              <w:rPr>
                <w:rFonts w:ascii="Arial" w:hAnsi="Arial" w:cs="Arial"/>
                <w:sz w:val="20"/>
              </w:rPr>
            </w:pPr>
            <w:r w:rsidRPr="00642DC1">
              <w:rPr>
                <w:rFonts w:ascii="Arial" w:hAnsi="Arial" w:cs="Arial"/>
                <w:sz w:val="20"/>
              </w:rPr>
              <w:t>To provide a passive currency hedge of 50% of the Fund's global equity exposure</w:t>
            </w:r>
          </w:p>
        </w:tc>
      </w:tr>
    </w:tbl>
    <w:p w14:paraId="58F15DF8" w14:textId="66454CD9" w:rsidR="00506D6B" w:rsidRDefault="00434E21" w:rsidP="004D4A79">
      <w:pPr>
        <w:pStyle w:val="BodyTextGrey"/>
        <w:jc w:val="both"/>
        <w:rPr>
          <w:iCs w:val="0"/>
          <w:color w:val="auto"/>
          <w:szCs w:val="16"/>
        </w:rPr>
      </w:pPr>
      <w:r w:rsidRPr="004D4A79">
        <w:rPr>
          <w:color w:val="auto"/>
          <w:szCs w:val="16"/>
        </w:rPr>
        <w:t xml:space="preserve">* Cash </w:t>
      </w:r>
      <w:r w:rsidRPr="004D4A79">
        <w:rPr>
          <w:iCs w:val="0"/>
          <w:color w:val="auto"/>
          <w:szCs w:val="16"/>
        </w:rPr>
        <w:t>is generally held for liquidity purposes, including waiting for drawdowns in respect of illiquid assets</w:t>
      </w:r>
      <w:r w:rsidR="004975F5">
        <w:rPr>
          <w:iCs w:val="0"/>
          <w:color w:val="auto"/>
          <w:szCs w:val="16"/>
        </w:rPr>
        <w:br/>
      </w:r>
    </w:p>
    <w:p w14:paraId="505734C5" w14:textId="77777777" w:rsidR="00A96413" w:rsidRDefault="00A96413" w:rsidP="004D4A79">
      <w:pPr>
        <w:pStyle w:val="BodyTextGrey"/>
        <w:jc w:val="both"/>
        <w:rPr>
          <w:iCs w:val="0"/>
          <w:color w:val="auto"/>
          <w:szCs w:val="16"/>
        </w:rPr>
      </w:pPr>
    </w:p>
    <w:p w14:paraId="36A2B89F" w14:textId="77777777" w:rsidR="00A96413" w:rsidRPr="001F4FE1" w:rsidRDefault="00A96413" w:rsidP="00A96413">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Where appropriate, custodians are appointed to provide trade settlement and processing and related services. Where investments are held through pooled funds, the funds appoint their own custodians.</w:t>
      </w:r>
    </w:p>
    <w:p w14:paraId="1B917C9D" w14:textId="77777777" w:rsidR="00A96413" w:rsidRPr="001F4FE1" w:rsidRDefault="00A96413" w:rsidP="00A96413">
      <w:pPr>
        <w:autoSpaceDE w:val="0"/>
        <w:autoSpaceDN w:val="0"/>
        <w:adjustRightInd w:val="0"/>
        <w:ind w:left="709"/>
        <w:jc w:val="both"/>
        <w:rPr>
          <w:rFonts w:ascii="Arial" w:hAnsi="Arial" w:cs="Arial"/>
          <w:color w:val="000000"/>
          <w:szCs w:val="24"/>
          <w:lang w:val="en-GB" w:eastAsia="en-GB"/>
        </w:rPr>
      </w:pPr>
    </w:p>
    <w:p w14:paraId="37664623" w14:textId="77777777" w:rsidR="00A96413" w:rsidRPr="001F4FE1" w:rsidRDefault="00A96413" w:rsidP="00A96413">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 xml:space="preserve">Performance targets are generally set on a three-year rolling basis and the Committee monitors manager performance quarterly. Advice is received as required from officers, the professional investment adviser and the independent advisers. In addition, the Committee requires managers periodically to attend its meetings. </w:t>
      </w:r>
    </w:p>
    <w:p w14:paraId="699D81E8" w14:textId="77777777" w:rsidR="00A96413" w:rsidRPr="001F4FE1" w:rsidRDefault="00A96413" w:rsidP="00A96413">
      <w:pPr>
        <w:autoSpaceDE w:val="0"/>
        <w:autoSpaceDN w:val="0"/>
        <w:adjustRightInd w:val="0"/>
        <w:ind w:left="709"/>
        <w:jc w:val="both"/>
        <w:rPr>
          <w:rFonts w:ascii="Arial" w:hAnsi="Arial" w:cs="Arial"/>
          <w:color w:val="000000"/>
          <w:szCs w:val="24"/>
          <w:lang w:val="en-GB" w:eastAsia="en-GB"/>
        </w:rPr>
      </w:pPr>
    </w:p>
    <w:p w14:paraId="5A8D8F46" w14:textId="77777777" w:rsidR="00A96413" w:rsidRPr="00642DC1" w:rsidRDefault="00A96413" w:rsidP="00A96413">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 xml:space="preserve">The </w:t>
      </w:r>
      <w:r w:rsidRPr="00642DC1">
        <w:rPr>
          <w:rFonts w:ascii="Arial" w:hAnsi="Arial" w:cs="Arial"/>
          <w:color w:val="000000"/>
          <w:szCs w:val="24"/>
          <w:lang w:val="en-GB" w:eastAsia="en-GB"/>
        </w:rPr>
        <w:t>Council also monitors the qualitative performance of the Fund managers to ensure that they remain suitable for the Fund.  These qualitative aspects include changes in ownership, changes in personnel, and investment administration</w:t>
      </w:r>
      <w:r>
        <w:rPr>
          <w:rFonts w:ascii="Arial" w:hAnsi="Arial" w:cs="Arial"/>
          <w:color w:val="000000"/>
          <w:szCs w:val="24"/>
          <w:lang w:val="en-GB" w:eastAsia="en-GB"/>
        </w:rPr>
        <w:t>.</w:t>
      </w:r>
    </w:p>
    <w:p w14:paraId="63550BE6" w14:textId="77777777" w:rsidR="00A96413" w:rsidRDefault="00A96413" w:rsidP="004D4A79">
      <w:pPr>
        <w:pStyle w:val="BodyTextGrey"/>
        <w:jc w:val="both"/>
        <w:rPr>
          <w:iCs w:val="0"/>
          <w:color w:val="auto"/>
          <w:szCs w:val="16"/>
        </w:rPr>
      </w:pPr>
    </w:p>
    <w:p w14:paraId="789D5CF1" w14:textId="77777777" w:rsidR="00A96413" w:rsidRDefault="00A96413" w:rsidP="00A96413">
      <w:pPr>
        <w:pStyle w:val="Heading2"/>
        <w:numPr>
          <w:ilvl w:val="0"/>
          <w:numId w:val="32"/>
        </w:numPr>
        <w:ind w:left="709" w:right="425" w:hanging="709"/>
        <w:jc w:val="both"/>
        <w:rPr>
          <w:rFonts w:ascii="Arial" w:hAnsi="Arial" w:cs="Arial"/>
          <w:sz w:val="28"/>
          <w:szCs w:val="28"/>
        </w:rPr>
      </w:pPr>
      <w:r>
        <w:rPr>
          <w:rFonts w:ascii="Arial" w:hAnsi="Arial" w:cs="Arial"/>
          <w:sz w:val="28"/>
          <w:szCs w:val="28"/>
        </w:rPr>
        <w:t>Stock lending</w:t>
      </w:r>
    </w:p>
    <w:p w14:paraId="48038FE6" w14:textId="77777777" w:rsidR="00A96413" w:rsidRPr="008E5931" w:rsidRDefault="00A96413" w:rsidP="00A96413">
      <w:pPr>
        <w:tabs>
          <w:tab w:val="left" w:pos="709"/>
        </w:tabs>
        <w:ind w:left="567" w:right="-2"/>
        <w:jc w:val="both"/>
        <w:rPr>
          <w:rFonts w:ascii="Arial" w:hAnsi="Arial" w:cs="Arial"/>
          <w:lang w:val="en-GB"/>
        </w:rPr>
      </w:pPr>
    </w:p>
    <w:p w14:paraId="4BB43841" w14:textId="77777777" w:rsidR="00A96413" w:rsidRPr="001F4FE1" w:rsidRDefault="00A96413" w:rsidP="00A96413">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Stock lending is permitted in pooled funds where applicable. Details of investment managers’ procedures and controls are available on request.</w:t>
      </w:r>
    </w:p>
    <w:p w14:paraId="008EC841" w14:textId="31D213F9" w:rsidR="00A96413" w:rsidRDefault="00A96413" w:rsidP="004D4A79">
      <w:pPr>
        <w:pStyle w:val="BodyTextGrey"/>
        <w:jc w:val="both"/>
        <w:rPr>
          <w:iCs w:val="0"/>
          <w:color w:val="auto"/>
          <w:szCs w:val="16"/>
        </w:rPr>
        <w:sectPr w:rsidR="00A96413" w:rsidSect="00506D6B">
          <w:pgSz w:w="15840" w:h="12240" w:orient="landscape"/>
          <w:pgMar w:top="1440" w:right="1440" w:bottom="1325" w:left="1440" w:header="720" w:footer="720" w:gutter="0"/>
          <w:cols w:space="720"/>
          <w:docGrid w:linePitch="326"/>
        </w:sectPr>
      </w:pPr>
    </w:p>
    <w:p w14:paraId="78B2EC32" w14:textId="77777777" w:rsidR="003F6F60" w:rsidRDefault="003F6F60" w:rsidP="005E40EB">
      <w:pPr>
        <w:jc w:val="both"/>
        <w:rPr>
          <w:rFonts w:ascii="Arial" w:hAnsi="Arial" w:cs="Arial"/>
          <w:color w:val="000000"/>
          <w:lang w:val="en-GB"/>
        </w:rPr>
      </w:pPr>
    </w:p>
    <w:p w14:paraId="031C362D" w14:textId="41F1021C" w:rsidR="00772F00" w:rsidRPr="000027F1" w:rsidRDefault="00D7070B" w:rsidP="001F4FE1">
      <w:pPr>
        <w:pStyle w:val="Heading2"/>
        <w:numPr>
          <w:ilvl w:val="0"/>
          <w:numId w:val="32"/>
        </w:numPr>
        <w:ind w:left="709" w:right="425" w:hanging="709"/>
        <w:jc w:val="both"/>
        <w:rPr>
          <w:rFonts w:ascii="Arial" w:hAnsi="Arial" w:cs="Arial"/>
          <w:sz w:val="28"/>
          <w:szCs w:val="28"/>
        </w:rPr>
      </w:pPr>
      <w:r w:rsidRPr="000027F1">
        <w:rPr>
          <w:rFonts w:ascii="Arial" w:hAnsi="Arial" w:cs="Arial"/>
          <w:sz w:val="28"/>
          <w:szCs w:val="28"/>
        </w:rPr>
        <w:t>Approach to risk</w:t>
      </w:r>
    </w:p>
    <w:p w14:paraId="6C570123" w14:textId="77777777" w:rsidR="00C84DF3" w:rsidRDefault="00C84DF3" w:rsidP="00C84DF3">
      <w:pPr>
        <w:rPr>
          <w:lang w:val="en-GB"/>
        </w:rPr>
      </w:pPr>
    </w:p>
    <w:p w14:paraId="60D37CAC" w14:textId="1E1B54B6" w:rsidR="004552C9" w:rsidRDefault="004552C9" w:rsidP="00913BC7">
      <w:pPr>
        <w:numPr>
          <w:ilvl w:val="1"/>
          <w:numId w:val="32"/>
        </w:numPr>
        <w:autoSpaceDE w:val="0"/>
        <w:autoSpaceDN w:val="0"/>
        <w:adjustRightInd w:val="0"/>
        <w:ind w:left="709" w:hanging="709"/>
        <w:jc w:val="both"/>
        <w:rPr>
          <w:rFonts w:ascii="Arial" w:hAnsi="Arial" w:cs="Arial"/>
          <w:color w:val="000000"/>
          <w:szCs w:val="24"/>
          <w:lang w:val="en-GB" w:eastAsia="en-GB"/>
        </w:rPr>
      </w:pPr>
      <w:r w:rsidRPr="001F4FE1">
        <w:rPr>
          <w:rFonts w:ascii="Arial" w:hAnsi="Arial" w:cs="Arial"/>
          <w:color w:val="000000"/>
          <w:szCs w:val="24"/>
          <w:lang w:val="en-GB" w:eastAsia="en-GB"/>
        </w:rPr>
        <w:t xml:space="preserve">The </w:t>
      </w:r>
      <w:r w:rsidRPr="00642DC1">
        <w:rPr>
          <w:rFonts w:ascii="Arial" w:hAnsi="Arial" w:cs="Arial"/>
          <w:color w:val="000000"/>
          <w:szCs w:val="24"/>
          <w:lang w:val="en-GB" w:eastAsia="en-GB"/>
        </w:rPr>
        <w:t xml:space="preserve">Committee has an active risk management programme in place that aims to help it identify the risks being taken and put in place processes to manage, measure, monitor and (where possible) mitigate the risks being taken.  </w:t>
      </w:r>
    </w:p>
    <w:p w14:paraId="1FB17A97" w14:textId="77777777" w:rsidR="00913BC7" w:rsidRPr="00642DC1" w:rsidRDefault="00913BC7" w:rsidP="00642DC1">
      <w:pPr>
        <w:autoSpaceDE w:val="0"/>
        <w:autoSpaceDN w:val="0"/>
        <w:adjustRightInd w:val="0"/>
        <w:ind w:left="709"/>
        <w:jc w:val="both"/>
        <w:rPr>
          <w:iCs/>
          <w:color w:val="000000"/>
          <w:szCs w:val="24"/>
          <w:lang w:eastAsia="en-GB"/>
        </w:rPr>
      </w:pPr>
    </w:p>
    <w:p w14:paraId="2C62C50D" w14:textId="2A3E39F0" w:rsidR="0060730F" w:rsidRDefault="004552C9" w:rsidP="00913BC7">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At least once a year the Committee reviews its risk register which details the principal risks identified </w:t>
      </w:r>
      <w:r w:rsidR="00A24365" w:rsidRPr="00642DC1">
        <w:rPr>
          <w:rFonts w:ascii="Arial" w:hAnsi="Arial" w:cs="Arial"/>
          <w:color w:val="000000"/>
          <w:szCs w:val="24"/>
          <w:lang w:val="en-GB" w:eastAsia="en-GB"/>
        </w:rPr>
        <w:t>and the</w:t>
      </w:r>
      <w:r w:rsidRPr="00642DC1">
        <w:rPr>
          <w:rFonts w:ascii="Arial" w:hAnsi="Arial" w:cs="Arial"/>
          <w:color w:val="000000"/>
          <w:szCs w:val="24"/>
          <w:lang w:val="en-GB" w:eastAsia="en-GB"/>
        </w:rPr>
        <w:t xml:space="preserve"> Committee’s approach to managing them. </w:t>
      </w:r>
      <w:r w:rsidR="0060730F" w:rsidRPr="00642DC1">
        <w:rPr>
          <w:rFonts w:ascii="Arial" w:hAnsi="Arial" w:cs="Arial"/>
          <w:color w:val="000000"/>
          <w:szCs w:val="24"/>
          <w:lang w:val="en-GB" w:eastAsia="en-GB"/>
        </w:rPr>
        <w:t xml:space="preserve">The Funding Strategy Statement also includes a section on risk and the ways it can be measured and managed. </w:t>
      </w:r>
    </w:p>
    <w:p w14:paraId="14667342" w14:textId="77777777" w:rsidR="00913BC7" w:rsidRDefault="00913BC7" w:rsidP="00642DC1">
      <w:pPr>
        <w:pStyle w:val="ListParagraph"/>
        <w:rPr>
          <w:rFonts w:ascii="Arial" w:hAnsi="Arial" w:cs="Arial"/>
          <w:color w:val="000000"/>
          <w:szCs w:val="24"/>
          <w:lang w:val="en-GB" w:eastAsia="en-GB"/>
        </w:rPr>
      </w:pPr>
    </w:p>
    <w:p w14:paraId="63510D73" w14:textId="61133190" w:rsidR="00913BC7" w:rsidRPr="008C3E99" w:rsidRDefault="00913BC7"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8C3E99">
        <w:rPr>
          <w:rFonts w:ascii="Arial" w:hAnsi="Arial" w:cs="Arial"/>
          <w:color w:val="000000"/>
          <w:szCs w:val="24"/>
          <w:lang w:val="en-GB" w:eastAsia="en-GB"/>
        </w:rPr>
        <w:t xml:space="preserve">The most significant investment risks and methods of managing them are summarised in paragraphs </w:t>
      </w:r>
      <w:r w:rsidR="009550DE" w:rsidRPr="008C3E99">
        <w:rPr>
          <w:rFonts w:ascii="Arial" w:hAnsi="Arial" w:cs="Arial"/>
          <w:color w:val="000000"/>
          <w:szCs w:val="24"/>
          <w:lang w:val="en-GB" w:eastAsia="en-GB"/>
        </w:rPr>
        <w:t>11</w:t>
      </w:r>
      <w:r w:rsidRPr="008C3E99">
        <w:rPr>
          <w:rFonts w:ascii="Arial" w:hAnsi="Arial" w:cs="Arial"/>
          <w:color w:val="000000"/>
          <w:szCs w:val="24"/>
          <w:lang w:val="en-GB" w:eastAsia="en-GB"/>
        </w:rPr>
        <w:t xml:space="preserve">.4 – </w:t>
      </w:r>
      <w:r w:rsidR="009550DE" w:rsidRPr="008C3E99">
        <w:rPr>
          <w:rFonts w:ascii="Arial" w:hAnsi="Arial" w:cs="Arial"/>
          <w:color w:val="000000"/>
          <w:szCs w:val="24"/>
          <w:lang w:val="en-GB" w:eastAsia="en-GB"/>
        </w:rPr>
        <w:t>11</w:t>
      </w:r>
      <w:r w:rsidRPr="008C3E99">
        <w:rPr>
          <w:rFonts w:ascii="Arial" w:hAnsi="Arial" w:cs="Arial"/>
          <w:color w:val="000000"/>
          <w:szCs w:val="24"/>
          <w:lang w:val="en-GB" w:eastAsia="en-GB"/>
        </w:rPr>
        <w:t>.6 below.</w:t>
      </w:r>
    </w:p>
    <w:p w14:paraId="05420932" w14:textId="77777777" w:rsidR="009550DE" w:rsidRDefault="009550DE" w:rsidP="00642DC1">
      <w:pPr>
        <w:autoSpaceDE w:val="0"/>
        <w:autoSpaceDN w:val="0"/>
        <w:adjustRightInd w:val="0"/>
        <w:ind w:left="709"/>
        <w:jc w:val="both"/>
        <w:rPr>
          <w:rFonts w:ascii="Arial" w:hAnsi="Arial" w:cs="Arial"/>
          <w:color w:val="000000"/>
          <w:szCs w:val="24"/>
          <w:lang w:val="en-GB" w:eastAsia="en-GB"/>
        </w:rPr>
      </w:pPr>
    </w:p>
    <w:p w14:paraId="3B9BE252" w14:textId="3E7E103F" w:rsidR="00913BC7" w:rsidRPr="00642DC1" w:rsidRDefault="00913BC7"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Whilst the objective of the Committee is to maximise the probability of achieving the required return on its investments, it recognises that this has to be within certain risk parameters and that no investment is without an element of risk. The Committee acknowledges that the predominantly equity based investment strategy may entail risk to contribution stability, particularly due to the short term volatility that equity investments can involve. The long term nature of the Fund and the expectation that longer term returns from equity investments will exceed those from bonds mean, however, that a significant equity allocation remains an appropriate strategy for the Fund.    </w:t>
      </w:r>
    </w:p>
    <w:p w14:paraId="664624C0" w14:textId="77777777" w:rsidR="00913BC7" w:rsidRPr="00455215" w:rsidRDefault="00913BC7" w:rsidP="00913BC7">
      <w:pPr>
        <w:pStyle w:val="ListParagraph"/>
        <w:ind w:left="851"/>
        <w:rPr>
          <w:rFonts w:ascii="Arial" w:hAnsi="Arial" w:cs="Arial"/>
        </w:rPr>
      </w:pPr>
    </w:p>
    <w:p w14:paraId="2BFCC619" w14:textId="77777777" w:rsidR="00913BC7" w:rsidRPr="00642DC1" w:rsidRDefault="00913BC7"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A policy of diversification for its investments and investment managers helps the Committee to mitigate overall risk.  Benchmarks and targets against which investment managers are expected to perform are further measures put in place to manage the risks for the Fund.   </w:t>
      </w:r>
    </w:p>
    <w:p w14:paraId="1B487996" w14:textId="77777777" w:rsidR="00913BC7" w:rsidRPr="00642DC1" w:rsidRDefault="00913BC7" w:rsidP="00642DC1">
      <w:pPr>
        <w:autoSpaceDE w:val="0"/>
        <w:autoSpaceDN w:val="0"/>
        <w:adjustRightInd w:val="0"/>
        <w:ind w:left="709"/>
        <w:jc w:val="both"/>
        <w:rPr>
          <w:rFonts w:ascii="Arial" w:hAnsi="Arial" w:cs="Arial"/>
          <w:color w:val="000000"/>
          <w:szCs w:val="24"/>
          <w:lang w:val="en-GB" w:eastAsia="en-GB"/>
        </w:rPr>
      </w:pPr>
    </w:p>
    <w:p w14:paraId="466D346D" w14:textId="07B9A901" w:rsidR="00913BC7" w:rsidRPr="00642DC1" w:rsidRDefault="00913BC7"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The Committee looks to balance investment returns with ensuring the Fund has sufficient liquidity and cashflow available to meet benefit payments.  More than 60% of the fund is invested in highly liquid strategies such as equities and bonds.</w:t>
      </w:r>
    </w:p>
    <w:p w14:paraId="7D456200" w14:textId="77777777" w:rsidR="00913BC7" w:rsidRDefault="00913BC7" w:rsidP="001A401C">
      <w:pPr>
        <w:pStyle w:val="BodyTextGrey"/>
        <w:ind w:left="709" w:right="4" w:hanging="709"/>
        <w:jc w:val="both"/>
        <w:rPr>
          <w:iCs w:val="0"/>
          <w:color w:val="auto"/>
          <w:sz w:val="24"/>
        </w:rPr>
      </w:pPr>
    </w:p>
    <w:p w14:paraId="642E5325" w14:textId="49C59907" w:rsidR="00772F00" w:rsidRPr="001F4FE1" w:rsidRDefault="00874061" w:rsidP="001F4FE1">
      <w:pPr>
        <w:numPr>
          <w:ilvl w:val="1"/>
          <w:numId w:val="32"/>
        </w:numPr>
        <w:autoSpaceDE w:val="0"/>
        <w:autoSpaceDN w:val="0"/>
        <w:adjustRightInd w:val="0"/>
        <w:ind w:left="709" w:hanging="709"/>
        <w:jc w:val="both"/>
        <w:rPr>
          <w:rFonts w:ascii="Arial" w:hAnsi="Arial" w:cs="Arial"/>
          <w:szCs w:val="24"/>
        </w:rPr>
      </w:pPr>
      <w:r w:rsidRPr="001F4FE1">
        <w:rPr>
          <w:rFonts w:ascii="Arial" w:hAnsi="Arial" w:cs="Arial"/>
          <w:color w:val="000000"/>
          <w:szCs w:val="24"/>
          <w:lang w:val="en-GB" w:eastAsia="en-GB"/>
        </w:rPr>
        <w:tab/>
      </w:r>
      <w:r w:rsidR="00772F00" w:rsidRPr="00642DC1">
        <w:rPr>
          <w:rFonts w:ascii="Arial" w:hAnsi="Arial" w:cs="Arial"/>
          <w:color w:val="000000"/>
          <w:szCs w:val="24"/>
          <w:lang w:val="en-GB" w:eastAsia="en-GB"/>
        </w:rPr>
        <w:t>Funding risks</w:t>
      </w:r>
    </w:p>
    <w:p w14:paraId="6038A0F6" w14:textId="77777777" w:rsidR="00D7070B" w:rsidRDefault="00D7070B" w:rsidP="00D7070B">
      <w:pPr>
        <w:rPr>
          <w:lang w:val="en-GB"/>
        </w:rPr>
      </w:pPr>
    </w:p>
    <w:p w14:paraId="7783D422" w14:textId="2EA8CA3C" w:rsidR="00361182" w:rsidRPr="00642DC1" w:rsidRDefault="00361182" w:rsidP="00642DC1">
      <w:pPr>
        <w:numPr>
          <w:ilvl w:val="2"/>
          <w:numId w:val="32"/>
        </w:numPr>
        <w:autoSpaceDE w:val="0"/>
        <w:autoSpaceDN w:val="0"/>
        <w:adjustRightInd w:val="0"/>
        <w:ind w:left="1429"/>
        <w:jc w:val="both"/>
        <w:rPr>
          <w:rFonts w:ascii="Arial" w:hAnsi="Arial" w:cs="Arial"/>
          <w:color w:val="000000"/>
          <w:szCs w:val="24"/>
          <w:lang w:val="en-GB" w:eastAsia="en-GB"/>
        </w:rPr>
      </w:pPr>
      <w:r w:rsidRPr="00642DC1">
        <w:rPr>
          <w:rFonts w:ascii="Arial" w:hAnsi="Arial" w:cs="Arial"/>
          <w:color w:val="000000"/>
          <w:szCs w:val="24"/>
          <w:lang w:val="en-GB" w:eastAsia="en-GB"/>
        </w:rPr>
        <w:t>The major funding risks identified are:</w:t>
      </w:r>
    </w:p>
    <w:p w14:paraId="176E033B" w14:textId="77777777" w:rsidR="00361182" w:rsidRPr="00D7070B" w:rsidRDefault="00361182" w:rsidP="00642DC1">
      <w:pPr>
        <w:ind w:left="709"/>
        <w:rPr>
          <w:lang w:val="en-GB"/>
        </w:rPr>
      </w:pPr>
    </w:p>
    <w:p w14:paraId="727EB10B" w14:textId="77777777" w:rsidR="0028394A" w:rsidRPr="00874061" w:rsidRDefault="0028394A" w:rsidP="00642DC1">
      <w:pPr>
        <w:pStyle w:val="BodyTextIndent2"/>
        <w:numPr>
          <w:ilvl w:val="0"/>
          <w:numId w:val="19"/>
        </w:numPr>
        <w:tabs>
          <w:tab w:val="left" w:pos="567"/>
          <w:tab w:val="left" w:pos="1701"/>
        </w:tabs>
        <w:ind w:left="2410" w:hanging="567"/>
        <w:jc w:val="both"/>
        <w:rPr>
          <w:szCs w:val="24"/>
        </w:rPr>
      </w:pPr>
      <w:r w:rsidRPr="00874061">
        <w:rPr>
          <w:szCs w:val="24"/>
        </w:rPr>
        <w:t>Fund assets are not sufficient to meet long term liabilities</w:t>
      </w:r>
    </w:p>
    <w:p w14:paraId="015ADF32" w14:textId="42493370" w:rsidR="0028394A" w:rsidRPr="00874061" w:rsidRDefault="0028394A" w:rsidP="00642DC1">
      <w:pPr>
        <w:pStyle w:val="BodyTextIndent2"/>
        <w:numPr>
          <w:ilvl w:val="0"/>
          <w:numId w:val="19"/>
        </w:numPr>
        <w:tabs>
          <w:tab w:val="left" w:pos="567"/>
          <w:tab w:val="left" w:pos="1701"/>
        </w:tabs>
        <w:ind w:left="2410" w:hanging="567"/>
        <w:jc w:val="both"/>
        <w:rPr>
          <w:szCs w:val="24"/>
        </w:rPr>
      </w:pPr>
      <w:r w:rsidRPr="00874061">
        <w:rPr>
          <w:szCs w:val="24"/>
        </w:rPr>
        <w:t>Relative movement in value of Fund assets does not match the relative movement in Fund liabilities</w:t>
      </w:r>
    </w:p>
    <w:p w14:paraId="16313FBB" w14:textId="77777777" w:rsidR="0028394A" w:rsidRPr="00874061" w:rsidRDefault="0028394A" w:rsidP="00642DC1">
      <w:pPr>
        <w:pStyle w:val="BodyTextIndent2"/>
        <w:numPr>
          <w:ilvl w:val="0"/>
          <w:numId w:val="19"/>
        </w:numPr>
        <w:tabs>
          <w:tab w:val="left" w:pos="567"/>
          <w:tab w:val="left" w:pos="1701"/>
        </w:tabs>
        <w:ind w:left="2410" w:hanging="567"/>
        <w:jc w:val="both"/>
        <w:rPr>
          <w:szCs w:val="24"/>
        </w:rPr>
      </w:pPr>
      <w:r w:rsidRPr="00874061">
        <w:rPr>
          <w:szCs w:val="24"/>
        </w:rPr>
        <w:t>Demographic movements, particularly longevity, structural changes in membership</w:t>
      </w:r>
      <w:r w:rsidR="00361182" w:rsidRPr="00874061">
        <w:rPr>
          <w:szCs w:val="24"/>
        </w:rPr>
        <w:t xml:space="preserve"> and increases in early retirements.</w:t>
      </w:r>
      <w:r w:rsidRPr="00874061">
        <w:rPr>
          <w:szCs w:val="24"/>
        </w:rPr>
        <w:t xml:space="preserve"> and </w:t>
      </w:r>
    </w:p>
    <w:p w14:paraId="7A66B61C" w14:textId="77777777" w:rsidR="00C84DF3" w:rsidRPr="00874061" w:rsidRDefault="00C84DF3" w:rsidP="00642DC1">
      <w:pPr>
        <w:pStyle w:val="BodyTextIndent2"/>
        <w:numPr>
          <w:ilvl w:val="0"/>
          <w:numId w:val="19"/>
        </w:numPr>
        <w:tabs>
          <w:tab w:val="left" w:pos="567"/>
          <w:tab w:val="left" w:pos="1701"/>
        </w:tabs>
        <w:ind w:left="2410" w:hanging="567"/>
        <w:jc w:val="both"/>
        <w:rPr>
          <w:szCs w:val="24"/>
        </w:rPr>
      </w:pPr>
      <w:r w:rsidRPr="00874061">
        <w:rPr>
          <w:szCs w:val="24"/>
        </w:rPr>
        <w:t>Insufficient assets to meet short and medium term liabilities</w:t>
      </w:r>
    </w:p>
    <w:p w14:paraId="516538F5" w14:textId="77777777" w:rsidR="00AF552F" w:rsidRPr="00491ECD" w:rsidRDefault="00AF552F" w:rsidP="00642DC1">
      <w:pPr>
        <w:pStyle w:val="BodyTextGrey"/>
        <w:ind w:left="2127" w:right="4"/>
        <w:jc w:val="both"/>
        <w:rPr>
          <w:iCs w:val="0"/>
          <w:color w:val="auto"/>
          <w:sz w:val="24"/>
        </w:rPr>
      </w:pPr>
    </w:p>
    <w:p w14:paraId="3346FD13" w14:textId="2C89D5F6" w:rsidR="002058CB" w:rsidRDefault="003250C2" w:rsidP="00642DC1">
      <w:pPr>
        <w:numPr>
          <w:ilvl w:val="2"/>
          <w:numId w:val="32"/>
        </w:numPr>
        <w:autoSpaceDE w:val="0"/>
        <w:autoSpaceDN w:val="0"/>
        <w:adjustRightInd w:val="0"/>
        <w:ind w:left="1429"/>
        <w:jc w:val="both"/>
        <w:rPr>
          <w:rFonts w:ascii="Arial" w:hAnsi="Arial" w:cs="Arial"/>
          <w:color w:val="000000"/>
          <w:szCs w:val="24"/>
          <w:lang w:val="en-GB" w:eastAsia="en-GB"/>
        </w:rPr>
      </w:pPr>
      <w:r w:rsidRPr="00642DC1">
        <w:rPr>
          <w:rFonts w:ascii="Arial" w:hAnsi="Arial" w:cs="Arial"/>
          <w:color w:val="000000"/>
          <w:szCs w:val="24"/>
          <w:lang w:val="en-GB" w:eastAsia="en-GB"/>
        </w:rPr>
        <w:lastRenderedPageBreak/>
        <w:t xml:space="preserve">The Committee measures and </w:t>
      </w:r>
      <w:r w:rsidRPr="00BD1FFF">
        <w:rPr>
          <w:rFonts w:ascii="Arial" w:hAnsi="Arial" w:cs="Arial"/>
          <w:color w:val="000000"/>
          <w:szCs w:val="24"/>
          <w:lang w:val="en-GB" w:eastAsia="en-GB"/>
        </w:rPr>
        <w:t xml:space="preserve">manages these potential financial mismatches in two ways.  As indicated above, the Committee has set a strategic asset allocation benchmark for the Fund.  </w:t>
      </w:r>
      <w:r w:rsidRPr="000027F1">
        <w:rPr>
          <w:rFonts w:ascii="Arial" w:hAnsi="Arial" w:cs="Arial"/>
          <w:color w:val="000000"/>
          <w:szCs w:val="24"/>
          <w:lang w:val="en-GB" w:eastAsia="en-GB"/>
        </w:rPr>
        <w:t xml:space="preserve">This benchmark was set </w:t>
      </w:r>
      <w:r w:rsidR="00AE3A3E" w:rsidRPr="000027F1">
        <w:rPr>
          <w:rFonts w:ascii="Arial" w:hAnsi="Arial" w:cs="Arial"/>
          <w:color w:val="000000"/>
          <w:szCs w:val="24"/>
          <w:lang w:val="en-GB" w:eastAsia="en-GB"/>
        </w:rPr>
        <w:t>following</w:t>
      </w:r>
      <w:r w:rsidRPr="000027F1">
        <w:rPr>
          <w:rFonts w:ascii="Arial" w:hAnsi="Arial" w:cs="Arial"/>
          <w:color w:val="000000"/>
          <w:szCs w:val="24"/>
          <w:lang w:val="en-GB" w:eastAsia="en-GB"/>
        </w:rPr>
        <w:t xml:space="preserve"> asset liability modelling undertaken in 202</w:t>
      </w:r>
      <w:r w:rsidR="00AE3A3E" w:rsidRPr="000027F1">
        <w:rPr>
          <w:rFonts w:ascii="Arial" w:hAnsi="Arial" w:cs="Arial"/>
          <w:color w:val="000000"/>
          <w:szCs w:val="24"/>
          <w:lang w:val="en-GB" w:eastAsia="en-GB"/>
        </w:rPr>
        <w:t>3</w:t>
      </w:r>
      <w:r w:rsidR="00AE3A3E" w:rsidRPr="00BD1FFF">
        <w:rPr>
          <w:rFonts w:ascii="Arial" w:hAnsi="Arial" w:cs="Arial"/>
          <w:color w:val="000000"/>
          <w:szCs w:val="24"/>
          <w:lang w:val="en-GB" w:eastAsia="en-GB"/>
        </w:rPr>
        <w:t xml:space="preserve">. </w:t>
      </w:r>
      <w:r w:rsidRPr="00BD1FFF">
        <w:rPr>
          <w:rFonts w:ascii="Arial" w:hAnsi="Arial" w:cs="Arial"/>
          <w:color w:val="000000"/>
          <w:szCs w:val="24"/>
          <w:lang w:val="en-GB" w:eastAsia="en-GB"/>
        </w:rPr>
        <w:t>The Committee assesses risk relative to the strategic benchmark by monitoring the</w:t>
      </w:r>
      <w:r w:rsidRPr="00642DC1">
        <w:rPr>
          <w:rFonts w:ascii="Arial" w:hAnsi="Arial" w:cs="Arial"/>
          <w:color w:val="000000"/>
          <w:szCs w:val="24"/>
          <w:lang w:val="en-GB" w:eastAsia="en-GB"/>
        </w:rPr>
        <w:t xml:space="preserve"> Fund’s asset allocation and investment returns relative to the benchmark. The Committee also assesses risk relative to liabilities by monitoring the delivery of benchmark returns relative to liabilities. </w:t>
      </w:r>
    </w:p>
    <w:p w14:paraId="32ABF7F0" w14:textId="77777777" w:rsidR="003250C2" w:rsidRPr="00642DC1" w:rsidRDefault="003250C2" w:rsidP="00642DC1">
      <w:pPr>
        <w:autoSpaceDE w:val="0"/>
        <w:autoSpaceDN w:val="0"/>
        <w:adjustRightInd w:val="0"/>
        <w:ind w:left="1429"/>
        <w:jc w:val="both"/>
        <w:rPr>
          <w:color w:val="000000"/>
          <w:szCs w:val="24"/>
          <w:lang w:eastAsia="en-GB"/>
        </w:rPr>
      </w:pPr>
    </w:p>
    <w:p w14:paraId="3309EF0B" w14:textId="159ADB62" w:rsidR="00CB5253" w:rsidRDefault="00CB5253" w:rsidP="00642DC1">
      <w:pPr>
        <w:numPr>
          <w:ilvl w:val="2"/>
          <w:numId w:val="32"/>
        </w:numPr>
        <w:autoSpaceDE w:val="0"/>
        <w:autoSpaceDN w:val="0"/>
        <w:adjustRightInd w:val="0"/>
        <w:ind w:left="142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The Committee also seeks to understand the assumptions used in any analysis and modelling </w:t>
      </w:r>
      <w:r w:rsidR="00387D43" w:rsidRPr="00642DC1">
        <w:rPr>
          <w:rFonts w:ascii="Arial" w:hAnsi="Arial" w:cs="Arial"/>
          <w:color w:val="000000"/>
          <w:szCs w:val="24"/>
          <w:lang w:val="en-GB" w:eastAsia="en-GB"/>
        </w:rPr>
        <w:t>so that</w:t>
      </w:r>
      <w:r w:rsidRPr="00642DC1">
        <w:rPr>
          <w:rFonts w:ascii="Arial" w:hAnsi="Arial" w:cs="Arial"/>
          <w:color w:val="000000"/>
          <w:szCs w:val="24"/>
          <w:lang w:val="en-GB" w:eastAsia="en-GB"/>
        </w:rPr>
        <w:t xml:space="preserve"> they can be compared to their own views and</w:t>
      </w:r>
      <w:r w:rsidR="00387D43" w:rsidRPr="00642DC1">
        <w:rPr>
          <w:rFonts w:ascii="Arial" w:hAnsi="Arial" w:cs="Arial"/>
          <w:color w:val="000000"/>
          <w:szCs w:val="24"/>
          <w:lang w:val="en-GB" w:eastAsia="en-GB"/>
        </w:rPr>
        <w:t xml:space="preserve"> to enable</w:t>
      </w:r>
      <w:r w:rsidRPr="00642DC1">
        <w:rPr>
          <w:rFonts w:ascii="Arial" w:hAnsi="Arial" w:cs="Arial"/>
          <w:color w:val="000000"/>
          <w:szCs w:val="24"/>
          <w:lang w:val="en-GB" w:eastAsia="en-GB"/>
        </w:rPr>
        <w:t xml:space="preserve"> the level of risks associated with these assumptions to be assessed.</w:t>
      </w:r>
    </w:p>
    <w:p w14:paraId="47835529" w14:textId="77777777" w:rsidR="003250C2" w:rsidRPr="00642DC1" w:rsidRDefault="003250C2" w:rsidP="00642DC1">
      <w:pPr>
        <w:autoSpaceDE w:val="0"/>
        <w:autoSpaceDN w:val="0"/>
        <w:adjustRightInd w:val="0"/>
        <w:ind w:left="1429"/>
        <w:jc w:val="both"/>
        <w:rPr>
          <w:color w:val="000000"/>
          <w:szCs w:val="24"/>
          <w:lang w:eastAsia="en-GB"/>
        </w:rPr>
      </w:pPr>
    </w:p>
    <w:p w14:paraId="1F24505D" w14:textId="6099E9A0" w:rsidR="00C63433" w:rsidRPr="00642DC1" w:rsidRDefault="00C63433" w:rsidP="00642DC1">
      <w:pPr>
        <w:numPr>
          <w:ilvl w:val="2"/>
          <w:numId w:val="32"/>
        </w:numPr>
        <w:autoSpaceDE w:val="0"/>
        <w:autoSpaceDN w:val="0"/>
        <w:adjustRightInd w:val="0"/>
        <w:ind w:left="1429"/>
        <w:jc w:val="both"/>
        <w:rPr>
          <w:rFonts w:ascii="Arial" w:hAnsi="Arial" w:cs="Arial"/>
          <w:color w:val="000000"/>
          <w:szCs w:val="24"/>
          <w:lang w:val="en-GB" w:eastAsia="en-GB"/>
        </w:rPr>
      </w:pPr>
      <w:r w:rsidRPr="00642DC1">
        <w:rPr>
          <w:rFonts w:ascii="Arial" w:hAnsi="Arial" w:cs="Arial"/>
          <w:lang w:val="en-GB" w:eastAsia="en-GB"/>
        </w:rPr>
        <w:t xml:space="preserve">Demographic factors including the uncertainty around longevity / mortality projections (e.g. longer life expectancies) contribute to funding risk. There are limited options currently available to fully mitigate or hedge this risk.  The Council monitors liabilities using a specialist service provided by Club Vita, a “sister” company of the Fund’s Actuary, Hymans Robertson. Club Vita carries out a comprehensive analysis of the Fund’s longevity data to facilitate an understanding which helps to manage this issue in the most effective way.  </w:t>
      </w:r>
    </w:p>
    <w:p w14:paraId="4F2BD1AE" w14:textId="21B83BB9" w:rsidR="00C63433" w:rsidRDefault="00C63433" w:rsidP="00C63433">
      <w:pPr>
        <w:rPr>
          <w:lang w:val="en-GB"/>
        </w:rPr>
      </w:pPr>
    </w:p>
    <w:p w14:paraId="33D7FBC1" w14:textId="7FE1E2E4" w:rsidR="00A96413" w:rsidRDefault="00A96413" w:rsidP="00C63433">
      <w:pPr>
        <w:rPr>
          <w:lang w:val="en-GB"/>
        </w:rPr>
      </w:pPr>
    </w:p>
    <w:p w14:paraId="17CA457C" w14:textId="77777777" w:rsidR="00A96413" w:rsidRDefault="00A96413" w:rsidP="00C63433">
      <w:pPr>
        <w:rPr>
          <w:lang w:val="en-GB"/>
        </w:rPr>
      </w:pPr>
    </w:p>
    <w:p w14:paraId="5F17EE81" w14:textId="5B7B4FB0" w:rsidR="00772F00" w:rsidRPr="00642DC1" w:rsidRDefault="00772F00" w:rsidP="00642DC1">
      <w:pPr>
        <w:numPr>
          <w:ilvl w:val="1"/>
          <w:numId w:val="32"/>
        </w:numPr>
        <w:autoSpaceDE w:val="0"/>
        <w:autoSpaceDN w:val="0"/>
        <w:adjustRightInd w:val="0"/>
        <w:ind w:left="709" w:hanging="709"/>
        <w:jc w:val="both"/>
        <w:rPr>
          <w:rFonts w:ascii="Arial" w:hAnsi="Arial" w:cs="Arial"/>
          <w:color w:val="000000"/>
          <w:szCs w:val="24"/>
          <w:lang w:eastAsia="en-GB"/>
        </w:rPr>
      </w:pPr>
      <w:r w:rsidRPr="00642DC1">
        <w:rPr>
          <w:rFonts w:ascii="Arial" w:hAnsi="Arial" w:cs="Arial"/>
          <w:color w:val="000000"/>
          <w:szCs w:val="24"/>
          <w:lang w:val="en-GB" w:eastAsia="en-GB"/>
        </w:rPr>
        <w:t>Asset risks</w:t>
      </w:r>
    </w:p>
    <w:p w14:paraId="3425B317" w14:textId="77777777" w:rsidR="00361182" w:rsidRDefault="00361182" w:rsidP="00361182">
      <w:pPr>
        <w:rPr>
          <w:lang w:val="en-GB"/>
        </w:rPr>
      </w:pPr>
    </w:p>
    <w:p w14:paraId="2554463C" w14:textId="2EA250B0" w:rsidR="00361182" w:rsidRPr="00642DC1" w:rsidRDefault="00361182" w:rsidP="00642DC1">
      <w:pPr>
        <w:numPr>
          <w:ilvl w:val="2"/>
          <w:numId w:val="32"/>
        </w:numPr>
        <w:autoSpaceDE w:val="0"/>
        <w:autoSpaceDN w:val="0"/>
        <w:adjustRightInd w:val="0"/>
        <w:ind w:left="142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The major </w:t>
      </w:r>
      <w:r w:rsidR="004552C9" w:rsidRPr="00642DC1">
        <w:rPr>
          <w:rFonts w:ascii="Arial" w:hAnsi="Arial" w:cs="Arial"/>
          <w:color w:val="000000"/>
          <w:szCs w:val="24"/>
          <w:lang w:val="en-GB" w:eastAsia="en-GB"/>
        </w:rPr>
        <w:t>asset</w:t>
      </w:r>
      <w:r w:rsidRPr="00642DC1">
        <w:rPr>
          <w:rFonts w:ascii="Arial" w:hAnsi="Arial" w:cs="Arial"/>
          <w:color w:val="000000"/>
          <w:szCs w:val="24"/>
          <w:lang w:val="en-GB" w:eastAsia="en-GB"/>
        </w:rPr>
        <w:t xml:space="preserve"> risks identified are:</w:t>
      </w:r>
    </w:p>
    <w:p w14:paraId="2D172D36" w14:textId="77777777" w:rsidR="00361182" w:rsidRPr="00D7070B" w:rsidRDefault="00361182" w:rsidP="00361182">
      <w:pPr>
        <w:rPr>
          <w:lang w:val="en-GB"/>
        </w:rPr>
      </w:pPr>
    </w:p>
    <w:p w14:paraId="6D2E3A0B" w14:textId="77777777" w:rsidR="00361182" w:rsidRPr="00874061" w:rsidRDefault="00361182" w:rsidP="00642DC1">
      <w:pPr>
        <w:pStyle w:val="BodyTextIndent2"/>
        <w:numPr>
          <w:ilvl w:val="0"/>
          <w:numId w:val="19"/>
        </w:numPr>
        <w:tabs>
          <w:tab w:val="left" w:pos="567"/>
          <w:tab w:val="left" w:pos="1701"/>
        </w:tabs>
        <w:ind w:left="2410" w:hanging="567"/>
        <w:jc w:val="both"/>
        <w:rPr>
          <w:szCs w:val="24"/>
        </w:rPr>
      </w:pPr>
      <w:r w:rsidRPr="00874061">
        <w:rPr>
          <w:szCs w:val="24"/>
        </w:rPr>
        <w:t>Significant allocation to an</w:t>
      </w:r>
      <w:r w:rsidR="00874061" w:rsidRPr="00874061">
        <w:rPr>
          <w:szCs w:val="24"/>
        </w:rPr>
        <w:t xml:space="preserve">y single asset category and its </w:t>
      </w:r>
      <w:r w:rsidRPr="00874061">
        <w:rPr>
          <w:szCs w:val="24"/>
        </w:rPr>
        <w:t xml:space="preserve">underperformance relative to expectation. </w:t>
      </w:r>
    </w:p>
    <w:p w14:paraId="2175B880" w14:textId="77777777" w:rsidR="00361182" w:rsidRPr="00874061" w:rsidRDefault="00C84DF3" w:rsidP="00642DC1">
      <w:pPr>
        <w:pStyle w:val="BodyTextIndent2"/>
        <w:numPr>
          <w:ilvl w:val="0"/>
          <w:numId w:val="19"/>
        </w:numPr>
        <w:tabs>
          <w:tab w:val="left" w:pos="567"/>
          <w:tab w:val="left" w:pos="1701"/>
        </w:tabs>
        <w:ind w:left="2410" w:hanging="567"/>
        <w:jc w:val="both"/>
        <w:rPr>
          <w:szCs w:val="24"/>
        </w:rPr>
      </w:pPr>
      <w:r w:rsidRPr="00874061">
        <w:rPr>
          <w:szCs w:val="24"/>
        </w:rPr>
        <w:t>General fall in investment markets</w:t>
      </w:r>
      <w:r w:rsidR="00361182" w:rsidRPr="00874061">
        <w:rPr>
          <w:szCs w:val="24"/>
        </w:rPr>
        <w:t xml:space="preserve"> </w:t>
      </w:r>
    </w:p>
    <w:p w14:paraId="3C33CDC2" w14:textId="77777777" w:rsidR="00772F00" w:rsidRDefault="00C84DF3" w:rsidP="00642DC1">
      <w:pPr>
        <w:pStyle w:val="BodyTextIndent2"/>
        <w:numPr>
          <w:ilvl w:val="0"/>
          <w:numId w:val="19"/>
        </w:numPr>
        <w:tabs>
          <w:tab w:val="left" w:pos="567"/>
          <w:tab w:val="left" w:pos="1701"/>
        </w:tabs>
        <w:ind w:left="2410" w:hanging="567"/>
        <w:jc w:val="both"/>
        <w:rPr>
          <w:szCs w:val="24"/>
        </w:rPr>
      </w:pPr>
      <w:r w:rsidRPr="00874061">
        <w:rPr>
          <w:szCs w:val="24"/>
        </w:rPr>
        <w:t>Failure by fund managers to achieve benchmark returns</w:t>
      </w:r>
    </w:p>
    <w:p w14:paraId="2A695B5A" w14:textId="77777777" w:rsidR="0014693B" w:rsidRPr="00874061" w:rsidRDefault="0014693B" w:rsidP="0014693B">
      <w:pPr>
        <w:pStyle w:val="BodyTextIndent2"/>
        <w:tabs>
          <w:tab w:val="left" w:pos="567"/>
          <w:tab w:val="left" w:pos="1701"/>
        </w:tabs>
        <w:ind w:left="1701" w:firstLine="0"/>
        <w:jc w:val="both"/>
        <w:rPr>
          <w:szCs w:val="24"/>
        </w:rPr>
      </w:pPr>
    </w:p>
    <w:p w14:paraId="26E2574D" w14:textId="46ABE995" w:rsidR="00772F00" w:rsidRPr="00642DC1" w:rsidRDefault="00772F00" w:rsidP="00642DC1">
      <w:pPr>
        <w:numPr>
          <w:ilvl w:val="2"/>
          <w:numId w:val="32"/>
        </w:numPr>
        <w:autoSpaceDE w:val="0"/>
        <w:autoSpaceDN w:val="0"/>
        <w:adjustRightInd w:val="0"/>
        <w:ind w:left="1429"/>
        <w:jc w:val="both"/>
        <w:rPr>
          <w:iCs/>
          <w:color w:val="000000"/>
          <w:szCs w:val="24"/>
          <w:lang w:eastAsia="en-GB"/>
        </w:rPr>
      </w:pPr>
      <w:r w:rsidRPr="00642DC1">
        <w:rPr>
          <w:rFonts w:ascii="Arial" w:hAnsi="Arial" w:cs="Arial"/>
          <w:color w:val="000000"/>
          <w:szCs w:val="24"/>
          <w:lang w:val="en-GB" w:eastAsia="en-GB"/>
        </w:rPr>
        <w:t>The Committee measure and manage asset risks as follows</w:t>
      </w:r>
      <w:r w:rsidR="00BA2F8D" w:rsidRPr="00642DC1">
        <w:rPr>
          <w:rFonts w:ascii="Arial" w:hAnsi="Arial" w:cs="Arial"/>
          <w:color w:val="000000"/>
          <w:szCs w:val="24"/>
          <w:lang w:val="en-GB" w:eastAsia="en-GB"/>
        </w:rPr>
        <w:t>:</w:t>
      </w:r>
    </w:p>
    <w:p w14:paraId="543BE303" w14:textId="77777777" w:rsidR="00772F00" w:rsidRPr="001F4FE1" w:rsidRDefault="00772F00" w:rsidP="00642DC1">
      <w:pPr>
        <w:pStyle w:val="BodyTextIndent2"/>
        <w:numPr>
          <w:ilvl w:val="0"/>
          <w:numId w:val="19"/>
        </w:numPr>
        <w:tabs>
          <w:tab w:val="left" w:pos="567"/>
          <w:tab w:val="left" w:pos="1701"/>
        </w:tabs>
        <w:ind w:left="2410" w:hanging="567"/>
        <w:jc w:val="both"/>
        <w:rPr>
          <w:szCs w:val="24"/>
        </w:rPr>
      </w:pPr>
      <w:r w:rsidRPr="001F4FE1">
        <w:rPr>
          <w:szCs w:val="24"/>
        </w:rPr>
        <w:t xml:space="preserve">The Fund’s strategic asset allocation </w:t>
      </w:r>
      <w:r w:rsidR="004552C9" w:rsidRPr="001F4FE1">
        <w:rPr>
          <w:szCs w:val="24"/>
        </w:rPr>
        <w:t>policy requires investments in</w:t>
      </w:r>
      <w:r w:rsidRPr="001F4FE1">
        <w:rPr>
          <w:szCs w:val="24"/>
        </w:rPr>
        <w:t xml:space="preserve"> a diversified range of asset classes</w:t>
      </w:r>
      <w:r w:rsidR="002B233B" w:rsidRPr="001F4FE1">
        <w:rPr>
          <w:szCs w:val="24"/>
        </w:rPr>
        <w:t>, markets and investment managers</w:t>
      </w:r>
      <w:r w:rsidRPr="001F4FE1">
        <w:rPr>
          <w:szCs w:val="24"/>
        </w:rPr>
        <w:t xml:space="preserve">.  The Committee has put in place rebalancing arrangements to ensure the Fund’s “actual allocation” does not deviate substantially from its target.  The Fund invests in a range of investment mandates each of which has a defined objective, performance benchmark and manager process which, taken in aggregate, help reduce the Fund’s asset concentration risk.  By investing across a range of assets, including liquid quoted equities and </w:t>
      </w:r>
      <w:r w:rsidR="00A24365" w:rsidRPr="001F4FE1">
        <w:rPr>
          <w:szCs w:val="24"/>
        </w:rPr>
        <w:t>bonds the</w:t>
      </w:r>
      <w:r w:rsidRPr="001F4FE1">
        <w:rPr>
          <w:szCs w:val="24"/>
        </w:rPr>
        <w:t xml:space="preserve"> Committee has recognised the need for access to liquidity in the short term.</w:t>
      </w:r>
    </w:p>
    <w:p w14:paraId="1880D338" w14:textId="77777777" w:rsidR="00772F00" w:rsidRPr="001F4FE1" w:rsidRDefault="00772F00" w:rsidP="00642DC1">
      <w:pPr>
        <w:pStyle w:val="BodyTextIndent2"/>
        <w:numPr>
          <w:ilvl w:val="0"/>
          <w:numId w:val="19"/>
        </w:numPr>
        <w:tabs>
          <w:tab w:val="left" w:pos="567"/>
          <w:tab w:val="left" w:pos="1701"/>
        </w:tabs>
        <w:ind w:left="2410" w:hanging="567"/>
        <w:jc w:val="both"/>
        <w:rPr>
          <w:szCs w:val="24"/>
        </w:rPr>
      </w:pPr>
      <w:r w:rsidRPr="001F4FE1">
        <w:rPr>
          <w:szCs w:val="24"/>
        </w:rPr>
        <w:lastRenderedPageBreak/>
        <w:t>The Committee has considered the risk of underperformance by any single investment manager and ha</w:t>
      </w:r>
      <w:r w:rsidR="002B233B" w:rsidRPr="001F4FE1">
        <w:rPr>
          <w:szCs w:val="24"/>
        </w:rPr>
        <w:t>s</w:t>
      </w:r>
      <w:r w:rsidRPr="001F4FE1">
        <w:rPr>
          <w:szCs w:val="24"/>
        </w:rPr>
        <w:t xml:space="preserve"> attempted to reduce this risk by appointing </w:t>
      </w:r>
      <w:r w:rsidR="00387D43" w:rsidRPr="001F4FE1">
        <w:rPr>
          <w:szCs w:val="24"/>
        </w:rPr>
        <w:t xml:space="preserve">several </w:t>
      </w:r>
      <w:r w:rsidRPr="001F4FE1">
        <w:rPr>
          <w:szCs w:val="24"/>
        </w:rPr>
        <w:t>manager</w:t>
      </w:r>
      <w:r w:rsidR="00387D43" w:rsidRPr="001F4FE1">
        <w:rPr>
          <w:szCs w:val="24"/>
        </w:rPr>
        <w:t>s</w:t>
      </w:r>
      <w:r w:rsidRPr="001F4FE1">
        <w:rPr>
          <w:szCs w:val="24"/>
        </w:rPr>
        <w:t xml:space="preserve"> and having a </w:t>
      </w:r>
      <w:r w:rsidR="00BA2F8D" w:rsidRPr="001F4FE1">
        <w:rPr>
          <w:szCs w:val="24"/>
        </w:rPr>
        <w:t xml:space="preserve">significant </w:t>
      </w:r>
      <w:r w:rsidRPr="001F4FE1">
        <w:rPr>
          <w:szCs w:val="24"/>
        </w:rPr>
        <w:t xml:space="preserve">portion of the </w:t>
      </w:r>
      <w:r w:rsidR="002B233B" w:rsidRPr="001F4FE1">
        <w:rPr>
          <w:szCs w:val="24"/>
        </w:rPr>
        <w:t>Fund’s</w:t>
      </w:r>
      <w:r w:rsidRPr="001F4FE1">
        <w:rPr>
          <w:szCs w:val="24"/>
        </w:rPr>
        <w:t xml:space="preserve"> assets managed on a passive basis.  The Committee assess the Fund’s managers’ performance on a regular basis, and will take steps, including potentially replacing one or more of their managers, if underperformance persists.</w:t>
      </w:r>
    </w:p>
    <w:p w14:paraId="58437A6F" w14:textId="77777777" w:rsidR="00C6264C" w:rsidRPr="00642DC1" w:rsidRDefault="00C6264C" w:rsidP="00642DC1">
      <w:pPr>
        <w:pStyle w:val="BodyTextIndent2"/>
        <w:numPr>
          <w:ilvl w:val="0"/>
          <w:numId w:val="19"/>
        </w:numPr>
        <w:tabs>
          <w:tab w:val="left" w:pos="567"/>
          <w:tab w:val="left" w:pos="1701"/>
        </w:tabs>
        <w:ind w:left="2410" w:hanging="567"/>
        <w:jc w:val="both"/>
      </w:pPr>
      <w:r w:rsidRPr="00642DC1">
        <w:rPr>
          <w:szCs w:val="24"/>
        </w:rPr>
        <w:t>The Council has established a currency hedge covering 50% of the</w:t>
      </w:r>
      <w:r w:rsidRPr="00642DC1">
        <w:t xml:space="preserve"> global equity portfolio to dampen the effect of foreign currency fluctuations against sterling. </w:t>
      </w:r>
      <w:r w:rsidR="003747E4" w:rsidRPr="00642DC1">
        <w:t>Approximately 10 major currencies are hedged most notably the US Dollar, Japanese Yen and Euro.</w:t>
      </w:r>
    </w:p>
    <w:p w14:paraId="7D34A546" w14:textId="77777777" w:rsidR="00387D43" w:rsidRDefault="00387D43" w:rsidP="00675CF1">
      <w:pPr>
        <w:pStyle w:val="BodyTextGrey"/>
        <w:ind w:left="851" w:right="4" w:hanging="851"/>
        <w:jc w:val="both"/>
        <w:rPr>
          <w:iCs w:val="0"/>
          <w:color w:val="auto"/>
          <w:sz w:val="24"/>
        </w:rPr>
      </w:pPr>
    </w:p>
    <w:p w14:paraId="67B57141" w14:textId="558F21C3" w:rsidR="00772F00" w:rsidRPr="00642DC1" w:rsidRDefault="00031E25" w:rsidP="00642DC1">
      <w:pPr>
        <w:numPr>
          <w:ilvl w:val="1"/>
          <w:numId w:val="32"/>
        </w:numPr>
        <w:autoSpaceDE w:val="0"/>
        <w:autoSpaceDN w:val="0"/>
        <w:adjustRightInd w:val="0"/>
        <w:ind w:left="709" w:hanging="709"/>
        <w:jc w:val="both"/>
        <w:rPr>
          <w:rFonts w:ascii="Arial" w:hAnsi="Arial" w:cs="Arial"/>
          <w:color w:val="000000"/>
          <w:szCs w:val="24"/>
          <w:lang w:eastAsia="en-GB"/>
        </w:rPr>
      </w:pPr>
      <w:r w:rsidRPr="00642DC1">
        <w:rPr>
          <w:rFonts w:ascii="Arial" w:hAnsi="Arial" w:cs="Arial"/>
          <w:color w:val="000000"/>
          <w:szCs w:val="24"/>
          <w:lang w:val="en-GB" w:eastAsia="en-GB"/>
        </w:rPr>
        <w:t>Security</w:t>
      </w:r>
      <w:r w:rsidR="00675CF1" w:rsidRPr="00642DC1">
        <w:rPr>
          <w:rFonts w:ascii="Arial" w:hAnsi="Arial" w:cs="Arial"/>
          <w:color w:val="000000"/>
          <w:szCs w:val="24"/>
          <w:lang w:val="en-GB" w:eastAsia="en-GB"/>
        </w:rPr>
        <w:t xml:space="preserve"> risks</w:t>
      </w:r>
    </w:p>
    <w:p w14:paraId="36C6AA26" w14:textId="77777777" w:rsidR="003D5AA4" w:rsidRDefault="003D5AA4" w:rsidP="003D5AA4">
      <w:pPr>
        <w:rPr>
          <w:lang w:val="en-GB"/>
        </w:rPr>
      </w:pPr>
    </w:p>
    <w:p w14:paraId="7E7A3DFB" w14:textId="1EF5C2A6" w:rsidR="00A01E01" w:rsidRPr="00642DC1" w:rsidRDefault="00A01E01" w:rsidP="00642DC1">
      <w:pPr>
        <w:numPr>
          <w:ilvl w:val="2"/>
          <w:numId w:val="32"/>
        </w:numPr>
        <w:autoSpaceDE w:val="0"/>
        <w:autoSpaceDN w:val="0"/>
        <w:adjustRightInd w:val="0"/>
        <w:ind w:left="142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The major </w:t>
      </w:r>
      <w:r w:rsidR="00BA2F8D" w:rsidRPr="00642DC1">
        <w:rPr>
          <w:rFonts w:ascii="Arial" w:hAnsi="Arial" w:cs="Arial"/>
          <w:color w:val="000000"/>
          <w:szCs w:val="24"/>
          <w:lang w:val="en-GB" w:eastAsia="en-GB"/>
        </w:rPr>
        <w:t>security</w:t>
      </w:r>
      <w:r w:rsidRPr="00642DC1">
        <w:rPr>
          <w:rFonts w:ascii="Arial" w:hAnsi="Arial" w:cs="Arial"/>
          <w:color w:val="000000"/>
          <w:szCs w:val="24"/>
          <w:lang w:val="en-GB" w:eastAsia="en-GB"/>
        </w:rPr>
        <w:t xml:space="preserve"> risks identified are:</w:t>
      </w:r>
    </w:p>
    <w:p w14:paraId="32A8BFA5" w14:textId="77777777" w:rsidR="00A01E01" w:rsidRPr="00D7070B" w:rsidRDefault="00A01E01" w:rsidP="00A01E01">
      <w:pPr>
        <w:rPr>
          <w:lang w:val="en-GB"/>
        </w:rPr>
      </w:pPr>
    </w:p>
    <w:p w14:paraId="0ECCE15B" w14:textId="77777777" w:rsidR="00A01E01" w:rsidRPr="00B72978" w:rsidRDefault="00A01E01" w:rsidP="00642DC1">
      <w:pPr>
        <w:pStyle w:val="BodyTextIndent2"/>
        <w:numPr>
          <w:ilvl w:val="0"/>
          <w:numId w:val="19"/>
        </w:numPr>
        <w:tabs>
          <w:tab w:val="left" w:pos="567"/>
          <w:tab w:val="left" w:pos="1701"/>
        </w:tabs>
        <w:ind w:left="2410" w:hanging="567"/>
        <w:jc w:val="both"/>
        <w:rPr>
          <w:szCs w:val="24"/>
        </w:rPr>
      </w:pPr>
      <w:r w:rsidRPr="00B72978">
        <w:rPr>
          <w:szCs w:val="24"/>
        </w:rPr>
        <w:t>Investment manager may not have an appropriate control framework in place to protect and value Fund assets</w:t>
      </w:r>
    </w:p>
    <w:p w14:paraId="64EE0D50" w14:textId="77777777" w:rsidR="00A01E01" w:rsidRPr="00B72978" w:rsidRDefault="00A01E01" w:rsidP="00642DC1">
      <w:pPr>
        <w:pStyle w:val="BodyTextIndent2"/>
        <w:numPr>
          <w:ilvl w:val="0"/>
          <w:numId w:val="19"/>
        </w:numPr>
        <w:tabs>
          <w:tab w:val="left" w:pos="567"/>
          <w:tab w:val="left" w:pos="1701"/>
        </w:tabs>
        <w:ind w:left="2410" w:hanging="567"/>
        <w:jc w:val="both"/>
        <w:rPr>
          <w:szCs w:val="24"/>
        </w:rPr>
      </w:pPr>
      <w:r w:rsidRPr="00B72978">
        <w:rPr>
          <w:szCs w:val="24"/>
        </w:rPr>
        <w:t>Custody arrangements may not be sufficient to safeguard fund assets</w:t>
      </w:r>
    </w:p>
    <w:p w14:paraId="1B81AB2E" w14:textId="77777777" w:rsidR="00A01E01" w:rsidRPr="00B72978" w:rsidRDefault="00A01E01" w:rsidP="00642DC1">
      <w:pPr>
        <w:pStyle w:val="BodyTextIndent2"/>
        <w:numPr>
          <w:ilvl w:val="0"/>
          <w:numId w:val="19"/>
        </w:numPr>
        <w:tabs>
          <w:tab w:val="left" w:pos="567"/>
          <w:tab w:val="left" w:pos="1701"/>
        </w:tabs>
        <w:ind w:left="2410" w:hanging="567"/>
        <w:jc w:val="both"/>
        <w:rPr>
          <w:szCs w:val="24"/>
        </w:rPr>
      </w:pPr>
      <w:r w:rsidRPr="00B72978">
        <w:rPr>
          <w:szCs w:val="24"/>
        </w:rPr>
        <w:t>Counterparty default in stock lending programme</w:t>
      </w:r>
      <w:r w:rsidR="00975E32" w:rsidRPr="00B72978">
        <w:rPr>
          <w:szCs w:val="24"/>
        </w:rPr>
        <w:t xml:space="preserve"> and foreign exchange forward contracts</w:t>
      </w:r>
    </w:p>
    <w:p w14:paraId="5890B384" w14:textId="77777777" w:rsidR="00A01E01" w:rsidRDefault="00A01E01" w:rsidP="00A01E01">
      <w:pPr>
        <w:ind w:left="720"/>
        <w:rPr>
          <w:lang w:val="en-GB"/>
        </w:rPr>
      </w:pPr>
    </w:p>
    <w:p w14:paraId="4243A472" w14:textId="3E701159" w:rsidR="00772F00" w:rsidRPr="00642DC1" w:rsidRDefault="00772F00" w:rsidP="00642DC1">
      <w:pPr>
        <w:numPr>
          <w:ilvl w:val="2"/>
          <w:numId w:val="32"/>
        </w:numPr>
        <w:autoSpaceDE w:val="0"/>
        <w:autoSpaceDN w:val="0"/>
        <w:adjustRightInd w:val="0"/>
        <w:ind w:left="142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The Committee monitors and manages risks in these areas through </w:t>
      </w:r>
      <w:r w:rsidR="008C621A" w:rsidRPr="00642DC1">
        <w:rPr>
          <w:rFonts w:ascii="Arial" w:hAnsi="Arial" w:cs="Arial"/>
          <w:color w:val="000000"/>
          <w:szCs w:val="24"/>
          <w:lang w:val="en-GB" w:eastAsia="en-GB"/>
        </w:rPr>
        <w:t>the</w:t>
      </w:r>
      <w:r w:rsidRPr="00642DC1">
        <w:rPr>
          <w:rFonts w:ascii="Arial" w:hAnsi="Arial" w:cs="Arial"/>
          <w:color w:val="000000"/>
          <w:szCs w:val="24"/>
          <w:lang w:val="en-GB" w:eastAsia="en-GB"/>
        </w:rPr>
        <w:t xml:space="preserve"> regular scrutiny of </w:t>
      </w:r>
      <w:r w:rsidR="008C621A" w:rsidRPr="00642DC1">
        <w:rPr>
          <w:rFonts w:ascii="Arial" w:hAnsi="Arial" w:cs="Arial"/>
          <w:color w:val="000000"/>
          <w:szCs w:val="24"/>
          <w:lang w:val="en-GB" w:eastAsia="en-GB"/>
        </w:rPr>
        <w:t>the</w:t>
      </w:r>
      <w:r w:rsidRPr="00642DC1">
        <w:rPr>
          <w:rFonts w:ascii="Arial" w:hAnsi="Arial" w:cs="Arial"/>
          <w:color w:val="000000"/>
          <w:szCs w:val="24"/>
          <w:lang w:val="en-GB" w:eastAsia="en-GB"/>
        </w:rPr>
        <w:t xml:space="preserve"> audit of the operations </w:t>
      </w:r>
      <w:r w:rsidR="008C621A" w:rsidRPr="00642DC1">
        <w:rPr>
          <w:rFonts w:ascii="Arial" w:hAnsi="Arial" w:cs="Arial"/>
          <w:color w:val="000000"/>
          <w:szCs w:val="24"/>
          <w:lang w:val="en-GB" w:eastAsia="en-GB"/>
        </w:rPr>
        <w:t>independently conducted for each of its investment managers. Where appropriate (e.g. custody risk in relation to pooled funds)</w:t>
      </w:r>
      <w:r w:rsidR="00387D43" w:rsidRPr="00642DC1">
        <w:rPr>
          <w:rFonts w:ascii="Arial" w:hAnsi="Arial" w:cs="Arial"/>
          <w:color w:val="000000"/>
          <w:szCs w:val="24"/>
          <w:lang w:val="en-GB" w:eastAsia="en-GB"/>
        </w:rPr>
        <w:t>, t</w:t>
      </w:r>
      <w:r w:rsidR="00A24365" w:rsidRPr="00642DC1">
        <w:rPr>
          <w:rFonts w:ascii="Arial" w:hAnsi="Arial" w:cs="Arial"/>
          <w:color w:val="000000"/>
          <w:szCs w:val="24"/>
          <w:lang w:val="en-GB" w:eastAsia="en-GB"/>
        </w:rPr>
        <w:t>he</w:t>
      </w:r>
      <w:r w:rsidRPr="00642DC1">
        <w:rPr>
          <w:rFonts w:ascii="Arial" w:hAnsi="Arial" w:cs="Arial"/>
          <w:color w:val="000000"/>
          <w:szCs w:val="24"/>
          <w:lang w:val="en-GB" w:eastAsia="en-GB"/>
        </w:rPr>
        <w:t xml:space="preserve"> Fund has delegated such monitoring and management of risk to the appointed investment managers</w:t>
      </w:r>
      <w:r w:rsidR="008C621A" w:rsidRPr="00642DC1">
        <w:rPr>
          <w:rFonts w:ascii="Arial" w:hAnsi="Arial" w:cs="Arial"/>
          <w:color w:val="000000"/>
          <w:szCs w:val="24"/>
          <w:lang w:val="en-GB" w:eastAsia="en-GB"/>
        </w:rPr>
        <w:t>.</w:t>
      </w:r>
      <w:r w:rsidRPr="00642DC1">
        <w:rPr>
          <w:rFonts w:ascii="Arial" w:hAnsi="Arial" w:cs="Arial"/>
          <w:color w:val="000000"/>
          <w:szCs w:val="24"/>
          <w:lang w:val="en-GB" w:eastAsia="en-GB"/>
        </w:rPr>
        <w:t xml:space="preserve"> The Committee has the power to replace a provider should serious concerns </w:t>
      </w:r>
      <w:r w:rsidR="00064D4D" w:rsidRPr="00642DC1">
        <w:rPr>
          <w:rFonts w:ascii="Arial" w:hAnsi="Arial" w:cs="Arial"/>
          <w:color w:val="000000"/>
          <w:szCs w:val="24"/>
          <w:lang w:val="en-GB" w:eastAsia="en-GB"/>
        </w:rPr>
        <w:t>arise</w:t>
      </w:r>
      <w:r w:rsidRPr="00642DC1">
        <w:rPr>
          <w:rFonts w:ascii="Arial" w:hAnsi="Arial" w:cs="Arial"/>
          <w:color w:val="000000"/>
          <w:szCs w:val="24"/>
          <w:lang w:val="en-GB" w:eastAsia="en-GB"/>
        </w:rPr>
        <w:t>.</w:t>
      </w:r>
    </w:p>
    <w:p w14:paraId="38088CEB" w14:textId="371528E1" w:rsidR="00642DC1" w:rsidRDefault="00642DC1">
      <w:pPr>
        <w:rPr>
          <w:rFonts w:ascii="Arial" w:hAnsi="Arial" w:cs="Arial"/>
          <w:iCs/>
          <w:color w:val="455560"/>
          <w:sz w:val="20"/>
          <w:lang w:val="en-GB"/>
        </w:rPr>
      </w:pPr>
      <w:r>
        <w:br w:type="page"/>
      </w:r>
    </w:p>
    <w:p w14:paraId="3B12F59A" w14:textId="48BFACF7" w:rsidR="006033A6" w:rsidRDefault="006033A6" w:rsidP="00642DC1">
      <w:pPr>
        <w:pStyle w:val="Heading2"/>
        <w:numPr>
          <w:ilvl w:val="0"/>
          <w:numId w:val="32"/>
        </w:numPr>
        <w:ind w:left="709" w:right="425" w:hanging="709"/>
        <w:jc w:val="both"/>
        <w:rPr>
          <w:rFonts w:ascii="Arial" w:hAnsi="Arial" w:cs="Arial"/>
          <w:sz w:val="28"/>
          <w:szCs w:val="28"/>
        </w:rPr>
      </w:pPr>
      <w:r w:rsidRPr="00D7070B">
        <w:rPr>
          <w:rFonts w:ascii="Arial" w:hAnsi="Arial" w:cs="Arial"/>
          <w:sz w:val="28"/>
          <w:szCs w:val="28"/>
        </w:rPr>
        <w:lastRenderedPageBreak/>
        <w:t xml:space="preserve">Approach to </w:t>
      </w:r>
      <w:r>
        <w:rPr>
          <w:rFonts w:ascii="Arial" w:hAnsi="Arial" w:cs="Arial"/>
          <w:sz w:val="28"/>
          <w:szCs w:val="28"/>
        </w:rPr>
        <w:t>pooling</w:t>
      </w:r>
    </w:p>
    <w:p w14:paraId="6164F3CE" w14:textId="77777777" w:rsidR="00D7070B" w:rsidRDefault="00D7070B" w:rsidP="00772F00">
      <w:pPr>
        <w:pStyle w:val="BodyTextGrey"/>
        <w:ind w:right="991"/>
      </w:pPr>
    </w:p>
    <w:p w14:paraId="78E9FE06" w14:textId="0DD666C6" w:rsidR="00044310" w:rsidRPr="00642DC1" w:rsidRDefault="00044310" w:rsidP="00642DC1">
      <w:pPr>
        <w:numPr>
          <w:ilvl w:val="1"/>
          <w:numId w:val="32"/>
        </w:numPr>
        <w:autoSpaceDE w:val="0"/>
        <w:autoSpaceDN w:val="0"/>
        <w:adjustRightInd w:val="0"/>
        <w:ind w:left="709" w:hanging="709"/>
        <w:jc w:val="both"/>
        <w:rPr>
          <w:iCs/>
          <w:color w:val="000000"/>
          <w:szCs w:val="24"/>
          <w:lang w:val="en-GB" w:eastAsia="en-GB"/>
        </w:rPr>
      </w:pPr>
      <w:r w:rsidRPr="00642DC1">
        <w:rPr>
          <w:rFonts w:ascii="Arial" w:hAnsi="Arial" w:cs="Arial"/>
          <w:color w:val="000000"/>
          <w:szCs w:val="24"/>
          <w:lang w:val="en-GB" w:eastAsia="en-GB"/>
        </w:rPr>
        <w:t>In line with the Government’s pooling agenda t</w:t>
      </w:r>
      <w:r w:rsidR="00772F00" w:rsidRPr="00642DC1">
        <w:rPr>
          <w:rFonts w:ascii="Arial" w:hAnsi="Arial" w:cs="Arial"/>
          <w:color w:val="000000"/>
          <w:szCs w:val="24"/>
          <w:lang w:val="en-GB" w:eastAsia="en-GB"/>
        </w:rPr>
        <w:t>he Fund</w:t>
      </w:r>
      <w:r w:rsidR="002026C0" w:rsidRPr="00642DC1">
        <w:rPr>
          <w:rFonts w:ascii="Arial" w:hAnsi="Arial" w:cs="Arial"/>
          <w:color w:val="000000"/>
          <w:szCs w:val="24"/>
          <w:lang w:val="en-GB" w:eastAsia="en-GB"/>
        </w:rPr>
        <w:t>, along with all London boroughs</w:t>
      </w:r>
      <w:r w:rsidR="00387D43" w:rsidRPr="00642DC1">
        <w:rPr>
          <w:rFonts w:ascii="Arial" w:hAnsi="Arial" w:cs="Arial"/>
          <w:color w:val="000000"/>
          <w:szCs w:val="24"/>
          <w:lang w:val="en-GB" w:eastAsia="en-GB"/>
        </w:rPr>
        <w:t>,</w:t>
      </w:r>
      <w:r w:rsidR="00772F00" w:rsidRPr="00642DC1">
        <w:rPr>
          <w:rFonts w:ascii="Arial" w:hAnsi="Arial" w:cs="Arial"/>
          <w:color w:val="000000"/>
          <w:szCs w:val="24"/>
          <w:lang w:val="en-GB" w:eastAsia="en-GB"/>
        </w:rPr>
        <w:t xml:space="preserve"> is a </w:t>
      </w:r>
      <w:r w:rsidR="00B641DA" w:rsidRPr="00642DC1">
        <w:rPr>
          <w:rFonts w:ascii="Arial" w:hAnsi="Arial" w:cs="Arial"/>
          <w:color w:val="000000"/>
          <w:szCs w:val="24"/>
          <w:lang w:val="en-GB" w:eastAsia="en-GB"/>
        </w:rPr>
        <w:t xml:space="preserve">shareholder and </w:t>
      </w:r>
      <w:r w:rsidR="00772F00" w:rsidRPr="00642DC1">
        <w:rPr>
          <w:rFonts w:ascii="Arial" w:hAnsi="Arial" w:cs="Arial"/>
          <w:color w:val="000000"/>
          <w:szCs w:val="24"/>
          <w:lang w:val="en-GB" w:eastAsia="en-GB"/>
        </w:rPr>
        <w:t xml:space="preserve">participating scheme in </w:t>
      </w:r>
      <w:r w:rsidR="00346F51" w:rsidRPr="00642DC1">
        <w:rPr>
          <w:rFonts w:ascii="Arial" w:hAnsi="Arial" w:cs="Arial"/>
          <w:color w:val="000000"/>
          <w:szCs w:val="24"/>
          <w:lang w:val="en-GB" w:eastAsia="en-GB"/>
        </w:rPr>
        <w:t>London LGPS CIV Limited</w:t>
      </w:r>
      <w:r w:rsidR="002026C0" w:rsidRPr="00642DC1">
        <w:rPr>
          <w:rFonts w:ascii="Arial" w:hAnsi="Arial" w:cs="Arial"/>
          <w:color w:val="000000"/>
          <w:szCs w:val="24"/>
          <w:lang w:val="en-GB" w:eastAsia="en-GB"/>
        </w:rPr>
        <w:t xml:space="preserve"> (“London CIV”). The London CIV is authorised by the Financial Conduct Authority as an Alternative Investment Fund Manager with permission to operate a UK based Authorised Contractual Scheme fund. </w:t>
      </w:r>
      <w:r w:rsidR="00772F00" w:rsidRPr="00642DC1">
        <w:rPr>
          <w:rFonts w:ascii="Arial" w:hAnsi="Arial" w:cs="Arial"/>
          <w:color w:val="000000"/>
          <w:szCs w:val="24"/>
          <w:lang w:val="en-GB" w:eastAsia="en-GB"/>
        </w:rPr>
        <w:t xml:space="preserve">The structure and basis on which the </w:t>
      </w:r>
      <w:r w:rsidR="002026C0" w:rsidRPr="00642DC1">
        <w:rPr>
          <w:rFonts w:ascii="Arial" w:hAnsi="Arial" w:cs="Arial"/>
          <w:color w:val="000000"/>
          <w:szCs w:val="24"/>
          <w:lang w:val="en-GB" w:eastAsia="en-GB"/>
        </w:rPr>
        <w:t>London CIV</w:t>
      </w:r>
      <w:r w:rsidR="00772F00" w:rsidRPr="00642DC1">
        <w:rPr>
          <w:rFonts w:ascii="Arial" w:hAnsi="Arial" w:cs="Arial"/>
          <w:color w:val="000000"/>
          <w:szCs w:val="24"/>
          <w:lang w:val="en-GB" w:eastAsia="en-GB"/>
        </w:rPr>
        <w:t xml:space="preserve"> </w:t>
      </w:r>
      <w:r w:rsidRPr="00642DC1">
        <w:rPr>
          <w:rFonts w:ascii="Arial" w:hAnsi="Arial" w:cs="Arial"/>
          <w:color w:val="000000"/>
          <w:szCs w:val="24"/>
          <w:lang w:val="en-GB" w:eastAsia="en-GB"/>
        </w:rPr>
        <w:t>is operating</w:t>
      </w:r>
      <w:r w:rsidR="00772F00" w:rsidRPr="00642DC1">
        <w:rPr>
          <w:rFonts w:ascii="Arial" w:hAnsi="Arial" w:cs="Arial"/>
          <w:color w:val="000000"/>
          <w:szCs w:val="24"/>
          <w:lang w:val="en-GB" w:eastAsia="en-GB"/>
        </w:rPr>
        <w:t xml:space="preserve"> w</w:t>
      </w:r>
      <w:r w:rsidR="00E00A82" w:rsidRPr="00642DC1">
        <w:rPr>
          <w:rFonts w:ascii="Arial" w:hAnsi="Arial" w:cs="Arial"/>
          <w:color w:val="000000"/>
          <w:szCs w:val="24"/>
          <w:lang w:val="en-GB" w:eastAsia="en-GB"/>
        </w:rPr>
        <w:t>ere</w:t>
      </w:r>
      <w:r w:rsidR="00772F00" w:rsidRPr="00642DC1">
        <w:rPr>
          <w:rFonts w:ascii="Arial" w:hAnsi="Arial" w:cs="Arial"/>
          <w:color w:val="000000"/>
          <w:szCs w:val="24"/>
          <w:lang w:val="en-GB" w:eastAsia="en-GB"/>
        </w:rPr>
        <w:t xml:space="preserve"> set out in the July 2016 submission to Government. </w:t>
      </w:r>
    </w:p>
    <w:p w14:paraId="48F2FEE8" w14:textId="77777777" w:rsidR="009448DE" w:rsidRDefault="009448DE" w:rsidP="00B72978">
      <w:pPr>
        <w:pStyle w:val="BodyTextGrey"/>
        <w:tabs>
          <w:tab w:val="left" w:pos="709"/>
        </w:tabs>
        <w:ind w:left="709" w:hanging="709"/>
        <w:jc w:val="both"/>
        <w:rPr>
          <w:iCs w:val="0"/>
          <w:color w:val="auto"/>
          <w:sz w:val="24"/>
          <w:szCs w:val="24"/>
          <w:lang w:val="en-US"/>
        </w:rPr>
      </w:pPr>
    </w:p>
    <w:p w14:paraId="2A8C55FD" w14:textId="7056DE0E" w:rsidR="009448DE" w:rsidRDefault="00772F00" w:rsidP="009448DE">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The Fund’s intention is to invest its assets through the </w:t>
      </w:r>
      <w:r w:rsidR="002026C0" w:rsidRPr="00642DC1">
        <w:rPr>
          <w:rFonts w:ascii="Arial" w:hAnsi="Arial" w:cs="Arial"/>
          <w:color w:val="000000"/>
          <w:szCs w:val="24"/>
          <w:lang w:val="en-GB" w:eastAsia="en-GB"/>
        </w:rPr>
        <w:t>London CIV</w:t>
      </w:r>
      <w:r w:rsidRPr="00642DC1">
        <w:rPr>
          <w:rFonts w:ascii="Arial" w:hAnsi="Arial" w:cs="Arial"/>
          <w:color w:val="000000"/>
          <w:szCs w:val="24"/>
          <w:lang w:val="en-GB" w:eastAsia="en-GB"/>
        </w:rPr>
        <w:t xml:space="preserve"> as and when suitable </w:t>
      </w:r>
      <w:r w:rsidR="002026C0" w:rsidRPr="00642DC1">
        <w:rPr>
          <w:rFonts w:ascii="Arial" w:hAnsi="Arial" w:cs="Arial"/>
          <w:color w:val="000000"/>
          <w:szCs w:val="24"/>
          <w:lang w:val="en-GB" w:eastAsia="en-GB"/>
        </w:rPr>
        <w:t>p</w:t>
      </w:r>
      <w:r w:rsidRPr="00642DC1">
        <w:rPr>
          <w:rFonts w:ascii="Arial" w:hAnsi="Arial" w:cs="Arial"/>
          <w:color w:val="000000"/>
          <w:szCs w:val="24"/>
          <w:lang w:val="en-GB" w:eastAsia="en-GB"/>
        </w:rPr>
        <w:t xml:space="preserve">ool investment solutions become available. </w:t>
      </w:r>
      <w:r w:rsidR="00496286" w:rsidRPr="00642DC1">
        <w:rPr>
          <w:rFonts w:ascii="Arial" w:hAnsi="Arial" w:cs="Arial"/>
          <w:color w:val="000000"/>
          <w:szCs w:val="24"/>
          <w:lang w:val="en-GB" w:eastAsia="en-GB"/>
        </w:rPr>
        <w:t xml:space="preserve">At each of its meetings the Committee considers an update report on progress. </w:t>
      </w:r>
    </w:p>
    <w:p w14:paraId="362DFD04" w14:textId="77777777" w:rsidR="009448DE" w:rsidRPr="00642DC1" w:rsidRDefault="009448DE" w:rsidP="00642DC1">
      <w:pPr>
        <w:autoSpaceDE w:val="0"/>
        <w:autoSpaceDN w:val="0"/>
        <w:adjustRightInd w:val="0"/>
        <w:ind w:left="709"/>
        <w:jc w:val="both"/>
        <w:rPr>
          <w:rFonts w:ascii="Arial" w:hAnsi="Arial" w:cs="Arial"/>
          <w:color w:val="000000"/>
          <w:szCs w:val="24"/>
          <w:lang w:val="en-GB" w:eastAsia="en-GB"/>
        </w:rPr>
      </w:pPr>
    </w:p>
    <w:p w14:paraId="2354E79E" w14:textId="563A97A6" w:rsidR="009448DE" w:rsidRPr="00642DC1" w:rsidRDefault="009448DE"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464454">
        <w:rPr>
          <w:rFonts w:ascii="Arial" w:hAnsi="Arial" w:cs="Arial"/>
          <w:color w:val="000000"/>
          <w:szCs w:val="24"/>
          <w:lang w:val="en-GB" w:eastAsia="en-GB"/>
        </w:rPr>
        <w:t>A</w:t>
      </w:r>
      <w:r w:rsidR="00762630" w:rsidRPr="00464454">
        <w:rPr>
          <w:rFonts w:ascii="Arial" w:hAnsi="Arial" w:cs="Arial"/>
          <w:color w:val="000000"/>
          <w:szCs w:val="24"/>
          <w:lang w:val="en-GB" w:eastAsia="en-GB"/>
        </w:rPr>
        <w:t xml:space="preserve">s at 30 June 2024, </w:t>
      </w:r>
      <w:r w:rsidRPr="000027F1">
        <w:rPr>
          <w:rFonts w:ascii="Arial" w:hAnsi="Arial" w:cs="Arial"/>
          <w:color w:val="000000"/>
          <w:szCs w:val="24"/>
          <w:lang w:val="en-GB" w:eastAsia="en-GB"/>
        </w:rPr>
        <w:t xml:space="preserve">approximately </w:t>
      </w:r>
      <w:r w:rsidR="00FB6D01" w:rsidRPr="000027F1">
        <w:rPr>
          <w:rFonts w:ascii="Arial" w:hAnsi="Arial" w:cs="Arial"/>
          <w:color w:val="000000"/>
          <w:szCs w:val="24"/>
          <w:lang w:val="en-GB" w:eastAsia="en-GB"/>
        </w:rPr>
        <w:t>5</w:t>
      </w:r>
      <w:r w:rsidR="003B06C7" w:rsidRPr="000027F1">
        <w:rPr>
          <w:rFonts w:ascii="Arial" w:hAnsi="Arial" w:cs="Arial"/>
          <w:color w:val="000000"/>
          <w:szCs w:val="24"/>
          <w:lang w:val="en-GB" w:eastAsia="en-GB"/>
        </w:rPr>
        <w:t>4.37</w:t>
      </w:r>
      <w:r w:rsidRPr="000027F1">
        <w:rPr>
          <w:rFonts w:ascii="Arial" w:hAnsi="Arial" w:cs="Arial"/>
          <w:color w:val="000000"/>
          <w:szCs w:val="24"/>
          <w:lang w:val="en-GB" w:eastAsia="en-GB"/>
        </w:rPr>
        <w:t>% of the Fund's</w:t>
      </w:r>
      <w:r w:rsidRPr="00464454">
        <w:rPr>
          <w:rFonts w:ascii="Arial" w:hAnsi="Arial" w:cs="Arial"/>
          <w:color w:val="000000"/>
          <w:szCs w:val="24"/>
          <w:lang w:val="en-GB" w:eastAsia="en-GB"/>
        </w:rPr>
        <w:t xml:space="preserve"> asset</w:t>
      </w:r>
      <w:r w:rsidR="00762630" w:rsidRPr="00464454">
        <w:rPr>
          <w:rFonts w:ascii="Arial" w:hAnsi="Arial" w:cs="Arial"/>
          <w:color w:val="000000"/>
          <w:szCs w:val="24"/>
          <w:lang w:val="en-GB" w:eastAsia="en-GB"/>
        </w:rPr>
        <w:t>s</w:t>
      </w:r>
      <w:r w:rsidR="00AE3A3E">
        <w:rPr>
          <w:rFonts w:ascii="Arial" w:hAnsi="Arial" w:cs="Arial"/>
          <w:color w:val="000000"/>
          <w:szCs w:val="24"/>
          <w:lang w:val="en-GB" w:eastAsia="en-GB"/>
        </w:rPr>
        <w:t xml:space="preserve"> </w:t>
      </w:r>
      <w:r w:rsidRPr="00464454">
        <w:rPr>
          <w:rFonts w:ascii="Arial" w:hAnsi="Arial" w:cs="Arial"/>
          <w:color w:val="000000"/>
          <w:szCs w:val="24"/>
          <w:lang w:val="en-GB" w:eastAsia="en-GB"/>
        </w:rPr>
        <w:t xml:space="preserve">were invested through the London CIV, with a </w:t>
      </w:r>
      <w:r w:rsidRPr="000027F1">
        <w:rPr>
          <w:rFonts w:ascii="Arial" w:hAnsi="Arial" w:cs="Arial"/>
          <w:color w:val="000000"/>
          <w:szCs w:val="24"/>
          <w:lang w:val="en-GB" w:eastAsia="en-GB"/>
        </w:rPr>
        <w:t xml:space="preserve">further </w:t>
      </w:r>
      <w:r w:rsidR="000F2FFD" w:rsidRPr="000027F1">
        <w:rPr>
          <w:rFonts w:ascii="Arial" w:hAnsi="Arial" w:cs="Arial"/>
          <w:color w:val="000000"/>
          <w:szCs w:val="24"/>
          <w:lang w:val="en-GB" w:eastAsia="en-GB"/>
        </w:rPr>
        <w:t>2</w:t>
      </w:r>
      <w:r w:rsidR="00EC5204" w:rsidRPr="00464454">
        <w:rPr>
          <w:rFonts w:ascii="Arial" w:hAnsi="Arial" w:cs="Arial"/>
          <w:color w:val="000000"/>
          <w:szCs w:val="24"/>
          <w:lang w:val="en-GB" w:eastAsia="en-GB"/>
        </w:rPr>
        <w:t>8</w:t>
      </w:r>
      <w:r w:rsidRPr="00464454">
        <w:rPr>
          <w:rFonts w:ascii="Arial" w:hAnsi="Arial" w:cs="Arial"/>
          <w:color w:val="000000"/>
          <w:szCs w:val="24"/>
          <w:lang w:val="en-GB" w:eastAsia="en-GB"/>
        </w:rPr>
        <w:t xml:space="preserve">% of assets invested in pooled passive vehicles which are deemed to be compliant with pooling regulations. </w:t>
      </w:r>
      <w:r w:rsidR="00536ECD" w:rsidRPr="00464454">
        <w:rPr>
          <w:rFonts w:ascii="Arial" w:hAnsi="Arial" w:cs="Arial"/>
          <w:color w:val="000000"/>
          <w:szCs w:val="24"/>
          <w:lang w:val="en-GB" w:eastAsia="en-GB"/>
        </w:rPr>
        <w:t xml:space="preserve">Once the Fund’s revised investment strategy has been fully implemented, with the commitments to the London CIV Infrastructure Fund and London CIV Renewables Fund being fully drawn, the Fund will </w:t>
      </w:r>
      <w:r w:rsidR="00536ECD" w:rsidRPr="000027F1">
        <w:rPr>
          <w:rFonts w:ascii="Arial" w:hAnsi="Arial" w:cs="Arial"/>
          <w:color w:val="000000"/>
          <w:szCs w:val="24"/>
          <w:lang w:val="en-GB" w:eastAsia="en-GB"/>
        </w:rPr>
        <w:t xml:space="preserve">have </w:t>
      </w:r>
      <w:r w:rsidR="00E8748B" w:rsidRPr="000027F1">
        <w:rPr>
          <w:rFonts w:ascii="Arial" w:hAnsi="Arial" w:cs="Arial"/>
          <w:color w:val="000000"/>
          <w:szCs w:val="24"/>
          <w:lang w:val="en-GB" w:eastAsia="en-GB"/>
        </w:rPr>
        <w:t>82.5</w:t>
      </w:r>
      <w:r w:rsidR="00536ECD" w:rsidRPr="000027F1">
        <w:rPr>
          <w:rFonts w:ascii="Arial" w:hAnsi="Arial" w:cs="Arial"/>
          <w:color w:val="000000"/>
          <w:szCs w:val="24"/>
          <w:lang w:val="en-GB" w:eastAsia="en-GB"/>
        </w:rPr>
        <w:t>%</w:t>
      </w:r>
      <w:r w:rsidR="00536ECD" w:rsidRPr="00464454">
        <w:rPr>
          <w:rFonts w:ascii="Arial" w:hAnsi="Arial" w:cs="Arial"/>
          <w:color w:val="000000"/>
          <w:szCs w:val="24"/>
          <w:lang w:val="en-GB" w:eastAsia="en-GB"/>
        </w:rPr>
        <w:t xml:space="preserve"> of</w:t>
      </w:r>
      <w:r w:rsidR="00536ECD">
        <w:rPr>
          <w:rFonts w:ascii="Arial" w:hAnsi="Arial" w:cs="Arial"/>
          <w:color w:val="000000"/>
          <w:szCs w:val="24"/>
          <w:lang w:val="en-GB" w:eastAsia="en-GB"/>
        </w:rPr>
        <w:t xml:space="preserve"> its asset</w:t>
      </w:r>
      <w:r w:rsidR="00E8748B">
        <w:rPr>
          <w:rFonts w:ascii="Arial" w:hAnsi="Arial" w:cs="Arial"/>
          <w:color w:val="000000"/>
          <w:szCs w:val="24"/>
          <w:lang w:val="en-GB" w:eastAsia="en-GB"/>
        </w:rPr>
        <w:t xml:space="preserve"> allocation</w:t>
      </w:r>
      <w:r w:rsidR="00536ECD">
        <w:rPr>
          <w:rFonts w:ascii="Arial" w:hAnsi="Arial" w:cs="Arial"/>
          <w:color w:val="000000"/>
          <w:szCs w:val="24"/>
          <w:lang w:val="en-GB" w:eastAsia="en-GB"/>
        </w:rPr>
        <w:t xml:space="preserve"> pooled.</w:t>
      </w:r>
    </w:p>
    <w:p w14:paraId="34BFAF93" w14:textId="661DEBBF" w:rsidR="009448DE" w:rsidRPr="00642DC1" w:rsidRDefault="009448DE" w:rsidP="00642DC1">
      <w:pPr>
        <w:autoSpaceDE w:val="0"/>
        <w:autoSpaceDN w:val="0"/>
        <w:adjustRightInd w:val="0"/>
        <w:ind w:left="709"/>
        <w:jc w:val="both"/>
        <w:rPr>
          <w:iCs/>
          <w:color w:val="000000"/>
          <w:szCs w:val="24"/>
          <w:lang w:val="en-GB" w:eastAsia="en-GB"/>
        </w:rPr>
      </w:pPr>
    </w:p>
    <w:p w14:paraId="11867D85" w14:textId="24D1B227" w:rsidR="00E00A82" w:rsidRDefault="00E00A82" w:rsidP="009448DE">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The Committee’s view is that, in principle, due to the potential costs of disinvestment the only assets held by the Fund which would not be suitable for pooling are its private equity investments.</w:t>
      </w:r>
      <w:r w:rsidR="0092646F">
        <w:rPr>
          <w:rFonts w:ascii="Arial" w:hAnsi="Arial" w:cs="Arial"/>
          <w:color w:val="000000"/>
          <w:szCs w:val="24"/>
          <w:lang w:val="en-GB" w:eastAsia="en-GB"/>
        </w:rPr>
        <w:t xml:space="preserve"> These investments are in a ‘winding down’ phase, with no further commitments being made to the asset class.</w:t>
      </w:r>
    </w:p>
    <w:p w14:paraId="4D081066" w14:textId="77777777" w:rsidR="009448DE" w:rsidRPr="00642DC1" w:rsidRDefault="009448DE" w:rsidP="00642DC1">
      <w:pPr>
        <w:autoSpaceDE w:val="0"/>
        <w:autoSpaceDN w:val="0"/>
        <w:adjustRightInd w:val="0"/>
        <w:jc w:val="both"/>
        <w:rPr>
          <w:color w:val="000000"/>
          <w:szCs w:val="24"/>
          <w:lang w:eastAsia="en-GB"/>
        </w:rPr>
      </w:pPr>
    </w:p>
    <w:p w14:paraId="268FC88A" w14:textId="0590A130" w:rsidR="0092646F" w:rsidRPr="00642DC1" w:rsidRDefault="0092646F"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The governance structure of the London CIV has been designed to ensure that there are both formal and informal routes to engage with all the London boroughs as both shareholders and investors. The governance structure of the London CIV includes a Shareholder Committee which acts on behalf of the Shareholders as a consultative </w:t>
      </w:r>
      <w:r w:rsidRPr="001D4C50">
        <w:rPr>
          <w:rFonts w:ascii="Arial" w:hAnsi="Arial" w:cs="Arial"/>
          <w:color w:val="000000"/>
          <w:szCs w:val="24"/>
          <w:lang w:val="en-GB" w:eastAsia="en-GB"/>
        </w:rPr>
        <w:t>body. It comprises of 12 Committee Members made up of 8 Local Authority Committee Chairs (or Leaders of London Local Authorities), 4 Local Authority Treasurers and the Chair of the Board of London CIV. It also comprises of two Non-Executive Directors and as two further nominated observers, a Trade Union representative and a Local Authority Treasurer.</w:t>
      </w:r>
      <w:r w:rsidRPr="00642DC1">
        <w:rPr>
          <w:rFonts w:ascii="Arial" w:hAnsi="Arial" w:cs="Arial"/>
          <w:color w:val="000000"/>
          <w:szCs w:val="24"/>
          <w:lang w:val="en-GB" w:eastAsia="en-GB"/>
        </w:rPr>
        <w:t xml:space="preserve"> In addition, the London CIV hosts an AGM each year and a general meeting to approve the CIV's budget. The Fund attends these meetings with the Chair of the Pension Committee representing the Fund.</w:t>
      </w:r>
    </w:p>
    <w:p w14:paraId="750D19DD" w14:textId="77777777" w:rsidR="0092646F" w:rsidRPr="009444C5" w:rsidRDefault="0092646F" w:rsidP="0092646F">
      <w:pPr>
        <w:pStyle w:val="ListParagraph"/>
        <w:rPr>
          <w:rFonts w:ascii="Arial" w:hAnsi="Arial" w:cs="Arial"/>
        </w:rPr>
      </w:pPr>
    </w:p>
    <w:p w14:paraId="12A63B48" w14:textId="77777777" w:rsidR="0092646F" w:rsidRPr="00642DC1" w:rsidRDefault="0092646F"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As an AIFM, London CIV must comply with the Alternative Investment Manager Directive (“AIFMD”) and falls under the regulatory scrutiny and reporting regime of the Financial Conduct Authority (“FCA”). This includes the requirement for robust systems and processes and for these to be documented appropriately in policies and manuals. Risk management is a particular focus for the FCA and London CIV has developed a risk framework and risk register covering all areas of its operations, including fund management.</w:t>
      </w:r>
    </w:p>
    <w:p w14:paraId="132FAD4B" w14:textId="77777777" w:rsidR="008E299D" w:rsidRPr="00642DC1" w:rsidRDefault="008E299D" w:rsidP="008E299D"/>
    <w:p w14:paraId="2717C8AD" w14:textId="77777777" w:rsidR="008E299D" w:rsidRPr="00A078EE" w:rsidRDefault="008E299D" w:rsidP="00642DC1">
      <w:pPr>
        <w:pStyle w:val="Heading2"/>
        <w:numPr>
          <w:ilvl w:val="0"/>
          <w:numId w:val="32"/>
        </w:numPr>
        <w:ind w:left="709" w:right="425" w:hanging="709"/>
        <w:jc w:val="both"/>
        <w:rPr>
          <w:rFonts w:ascii="Arial" w:hAnsi="Arial" w:cs="Arial"/>
          <w:sz w:val="28"/>
          <w:szCs w:val="28"/>
        </w:rPr>
      </w:pPr>
      <w:r w:rsidRPr="001F4FE1">
        <w:rPr>
          <w:rFonts w:ascii="Arial" w:hAnsi="Arial" w:cs="Arial"/>
          <w:sz w:val="28"/>
          <w:szCs w:val="28"/>
        </w:rPr>
        <w:t>S</w:t>
      </w:r>
      <w:r w:rsidRPr="00A078EE">
        <w:rPr>
          <w:rFonts w:ascii="Arial" w:hAnsi="Arial" w:cs="Arial"/>
          <w:sz w:val="28"/>
          <w:szCs w:val="28"/>
        </w:rPr>
        <w:t>ocial, environmental and governance considerations</w:t>
      </w:r>
    </w:p>
    <w:p w14:paraId="567A51B0" w14:textId="77777777" w:rsidR="008E299D" w:rsidRDefault="008E299D" w:rsidP="00B72978">
      <w:pPr>
        <w:tabs>
          <w:tab w:val="left" w:pos="567"/>
        </w:tabs>
        <w:ind w:left="567" w:hanging="567"/>
        <w:rPr>
          <w:lang w:val="en-GB"/>
        </w:rPr>
      </w:pPr>
    </w:p>
    <w:p w14:paraId="2D9CB9A9" w14:textId="094BE349" w:rsidR="008E299D" w:rsidRPr="00642DC1" w:rsidRDefault="00DB58A5"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As considered earlier, t</w:t>
      </w:r>
      <w:r w:rsidR="008E299D" w:rsidRPr="00642DC1">
        <w:rPr>
          <w:rFonts w:ascii="Arial" w:hAnsi="Arial" w:cs="Arial"/>
          <w:color w:val="000000"/>
          <w:szCs w:val="24"/>
          <w:lang w:val="en-GB" w:eastAsia="en-GB"/>
        </w:rPr>
        <w:t>he Council recogni</w:t>
      </w:r>
      <w:r w:rsidR="002B233B" w:rsidRPr="00642DC1">
        <w:rPr>
          <w:rFonts w:ascii="Arial" w:hAnsi="Arial" w:cs="Arial"/>
          <w:color w:val="000000"/>
          <w:szCs w:val="24"/>
          <w:lang w:val="en-GB" w:eastAsia="en-GB"/>
        </w:rPr>
        <w:t>s</w:t>
      </w:r>
      <w:r w:rsidR="008E299D" w:rsidRPr="00642DC1">
        <w:rPr>
          <w:rFonts w:ascii="Arial" w:hAnsi="Arial" w:cs="Arial"/>
          <w:color w:val="000000"/>
          <w:szCs w:val="24"/>
          <w:lang w:val="en-GB" w:eastAsia="en-GB"/>
        </w:rPr>
        <w:t xml:space="preserve">es that it has a paramount duty to seek to obtain the best possible return on the Fund’s investments taking into account a properly considered level of risk. </w:t>
      </w:r>
      <w:r w:rsidR="00784D3A" w:rsidRPr="00642DC1">
        <w:rPr>
          <w:rFonts w:ascii="Arial" w:hAnsi="Arial" w:cs="Arial"/>
          <w:color w:val="000000"/>
          <w:szCs w:val="24"/>
          <w:lang w:val="en-GB" w:eastAsia="en-GB"/>
        </w:rPr>
        <w:t>It</w:t>
      </w:r>
      <w:r w:rsidR="00A512B6" w:rsidRPr="00642DC1">
        <w:rPr>
          <w:rFonts w:ascii="Arial" w:hAnsi="Arial" w:cs="Arial"/>
          <w:color w:val="000000"/>
          <w:szCs w:val="24"/>
          <w:lang w:val="en-GB" w:eastAsia="en-GB"/>
        </w:rPr>
        <w:t xml:space="preserve"> </w:t>
      </w:r>
      <w:r w:rsidR="00AC538B" w:rsidRPr="00642DC1">
        <w:rPr>
          <w:rFonts w:ascii="Arial" w:hAnsi="Arial" w:cs="Arial"/>
          <w:color w:val="000000"/>
          <w:szCs w:val="24"/>
          <w:lang w:val="en-GB" w:eastAsia="en-GB"/>
        </w:rPr>
        <w:t xml:space="preserve">also </w:t>
      </w:r>
      <w:r w:rsidR="00A512B6" w:rsidRPr="00642DC1">
        <w:rPr>
          <w:rFonts w:ascii="Arial" w:hAnsi="Arial" w:cs="Arial"/>
          <w:color w:val="000000"/>
          <w:szCs w:val="24"/>
          <w:lang w:val="en-GB" w:eastAsia="en-GB"/>
        </w:rPr>
        <w:t>recogni</w:t>
      </w:r>
      <w:r w:rsidR="00AC538B" w:rsidRPr="00642DC1">
        <w:rPr>
          <w:rFonts w:ascii="Arial" w:hAnsi="Arial" w:cs="Arial"/>
          <w:color w:val="000000"/>
          <w:szCs w:val="24"/>
          <w:lang w:val="en-GB" w:eastAsia="en-GB"/>
        </w:rPr>
        <w:t>s</w:t>
      </w:r>
      <w:r w:rsidR="00A512B6" w:rsidRPr="00642DC1">
        <w:rPr>
          <w:rFonts w:ascii="Arial" w:hAnsi="Arial" w:cs="Arial"/>
          <w:color w:val="000000"/>
          <w:szCs w:val="24"/>
          <w:lang w:val="en-GB" w:eastAsia="en-GB"/>
        </w:rPr>
        <w:t xml:space="preserve">es that environmental, social and governance factors can influence long term investment performance and the ability to achieve long term sustainable returns. </w:t>
      </w:r>
      <w:r w:rsidR="008E299D" w:rsidRPr="00642DC1">
        <w:rPr>
          <w:rFonts w:ascii="Arial" w:hAnsi="Arial" w:cs="Arial"/>
          <w:color w:val="000000"/>
          <w:szCs w:val="24"/>
          <w:lang w:val="en-GB" w:eastAsia="en-GB"/>
        </w:rPr>
        <w:t>As a general principle it considers that the long-term financial performance of a company is likely to be enhanced if it follows good practice in its environmental, social and governance activities.</w:t>
      </w:r>
    </w:p>
    <w:p w14:paraId="708B515F" w14:textId="77777777" w:rsidR="008E299D" w:rsidRPr="005A1CAB" w:rsidRDefault="008E299D" w:rsidP="00B72978">
      <w:pPr>
        <w:tabs>
          <w:tab w:val="left" w:pos="0"/>
          <w:tab w:val="left" w:pos="709"/>
        </w:tabs>
        <w:ind w:left="709" w:hanging="709"/>
        <w:jc w:val="both"/>
        <w:rPr>
          <w:rFonts w:ascii="Arial" w:hAnsi="Arial"/>
          <w:szCs w:val="24"/>
        </w:rPr>
      </w:pPr>
    </w:p>
    <w:p w14:paraId="2BBDA692" w14:textId="3092FC5B" w:rsidR="008E299D" w:rsidRDefault="008E299D" w:rsidP="000F2FFD">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At the present time the Committee take</w:t>
      </w:r>
      <w:r w:rsidR="00C43E42">
        <w:rPr>
          <w:rFonts w:ascii="Arial" w:hAnsi="Arial" w:cs="Arial"/>
          <w:color w:val="000000"/>
          <w:szCs w:val="24"/>
          <w:lang w:val="en-GB" w:eastAsia="en-GB"/>
        </w:rPr>
        <w:t>s</w:t>
      </w:r>
      <w:r w:rsidRPr="00642DC1">
        <w:rPr>
          <w:rFonts w:ascii="Arial" w:hAnsi="Arial" w:cs="Arial"/>
          <w:color w:val="000000"/>
          <w:szCs w:val="24"/>
          <w:lang w:val="en-GB" w:eastAsia="en-GB"/>
        </w:rPr>
        <w:t xml:space="preserve"> into account </w:t>
      </w:r>
      <w:r w:rsidR="00C43E42">
        <w:rPr>
          <w:rFonts w:ascii="Arial" w:hAnsi="Arial" w:cs="Arial"/>
          <w:color w:val="000000"/>
          <w:szCs w:val="24"/>
          <w:lang w:val="en-GB" w:eastAsia="en-GB"/>
        </w:rPr>
        <w:t xml:space="preserve">some </w:t>
      </w:r>
      <w:r w:rsidRPr="00642DC1">
        <w:rPr>
          <w:rFonts w:ascii="Arial" w:hAnsi="Arial" w:cs="Arial"/>
          <w:color w:val="000000"/>
          <w:szCs w:val="24"/>
          <w:lang w:val="en-GB" w:eastAsia="en-GB"/>
        </w:rPr>
        <w:t xml:space="preserve">non-financial factors when selecting, retaining, or realising its investments. </w:t>
      </w:r>
      <w:r w:rsidR="00C43E42">
        <w:rPr>
          <w:rFonts w:ascii="Arial" w:hAnsi="Arial" w:cs="Arial"/>
          <w:color w:val="000000"/>
          <w:szCs w:val="24"/>
          <w:lang w:val="en-GB" w:eastAsia="en-GB"/>
        </w:rPr>
        <w:t>However, t</w:t>
      </w:r>
      <w:r w:rsidRPr="00642DC1">
        <w:rPr>
          <w:rFonts w:ascii="Arial" w:hAnsi="Arial" w:cs="Arial"/>
          <w:color w:val="000000"/>
          <w:szCs w:val="24"/>
          <w:lang w:val="en-GB" w:eastAsia="en-GB"/>
        </w:rPr>
        <w:t xml:space="preserve">he Committee </w:t>
      </w:r>
      <w:r w:rsidR="00A24365" w:rsidRPr="00642DC1">
        <w:rPr>
          <w:rFonts w:ascii="Arial" w:hAnsi="Arial" w:cs="Arial"/>
          <w:color w:val="000000"/>
          <w:szCs w:val="24"/>
          <w:lang w:val="en-GB" w:eastAsia="en-GB"/>
        </w:rPr>
        <w:t>understands</w:t>
      </w:r>
      <w:r w:rsidRPr="00642DC1">
        <w:rPr>
          <w:rFonts w:ascii="Arial" w:hAnsi="Arial" w:cs="Arial"/>
          <w:color w:val="000000"/>
          <w:szCs w:val="24"/>
          <w:lang w:val="en-GB" w:eastAsia="en-GB"/>
        </w:rPr>
        <w:t xml:space="preserve"> the Fund is not able to exclude investments in order to pursue boycotts, divestment and sanctions against foreign nations and UK defence industries, other than where formal legal sanctions, embargoes and restrictions have been put in place by the Government.</w:t>
      </w:r>
    </w:p>
    <w:p w14:paraId="0E1E8505" w14:textId="77777777" w:rsidR="00A078EE" w:rsidRDefault="00A078EE" w:rsidP="00642DC1">
      <w:pPr>
        <w:pStyle w:val="ListParagraph"/>
        <w:rPr>
          <w:rFonts w:ascii="Arial" w:hAnsi="Arial" w:cs="Arial"/>
          <w:color w:val="000000"/>
          <w:szCs w:val="24"/>
          <w:lang w:val="en-GB" w:eastAsia="en-GB"/>
        </w:rPr>
      </w:pPr>
    </w:p>
    <w:p w14:paraId="71315F36" w14:textId="45C43D3C" w:rsidR="00A078EE" w:rsidRPr="00642DC1" w:rsidRDefault="00A078EE" w:rsidP="00642DC1">
      <w:pPr>
        <w:numPr>
          <w:ilvl w:val="1"/>
          <w:numId w:val="32"/>
        </w:numPr>
        <w:autoSpaceDE w:val="0"/>
        <w:autoSpaceDN w:val="0"/>
        <w:adjustRightInd w:val="0"/>
        <w:ind w:left="709" w:hanging="709"/>
        <w:jc w:val="both"/>
        <w:rPr>
          <w:color w:val="000000"/>
          <w:szCs w:val="24"/>
          <w:lang w:eastAsia="en-GB"/>
        </w:rPr>
      </w:pPr>
      <w:r>
        <w:rPr>
          <w:rFonts w:ascii="Arial" w:hAnsi="Arial" w:cs="Arial"/>
          <w:color w:val="000000"/>
          <w:szCs w:val="24"/>
          <w:lang w:val="en-GB" w:eastAsia="en-GB"/>
        </w:rPr>
        <w:t xml:space="preserve">More recently, the Committee has taken steps to reduce its carbon exposure, through transferring the Fund’s passive global equity mandate to a passive low carbon global equity mandate. In addition, the investments into the London CIV Sustainable Equity Fund and the London CIV Renewable Infrastructure Fund are have been made in consideration of the Fund’s </w:t>
      </w:r>
      <w:r w:rsidRPr="009444C5">
        <w:rPr>
          <w:rFonts w:ascii="Arial" w:hAnsi="Arial" w:cs="Arial"/>
          <w:color w:val="000000"/>
          <w:szCs w:val="24"/>
          <w:lang w:val="en-GB" w:eastAsia="en-GB"/>
        </w:rPr>
        <w:t>environmental, social and governance</w:t>
      </w:r>
      <w:r>
        <w:rPr>
          <w:rFonts w:ascii="Arial" w:hAnsi="Arial" w:cs="Arial"/>
          <w:color w:val="000000"/>
          <w:szCs w:val="24"/>
          <w:lang w:val="en-GB" w:eastAsia="en-GB"/>
        </w:rPr>
        <w:t xml:space="preserve"> approach.  The Committee are considering the most appropriate approach to monitor the Fund’s carbon exposure and other climate-risk related considerations.</w:t>
      </w:r>
    </w:p>
    <w:p w14:paraId="2582EA8B" w14:textId="77777777" w:rsidR="000F2FFD" w:rsidRDefault="000F2FFD" w:rsidP="00642DC1">
      <w:pPr>
        <w:autoSpaceDE w:val="0"/>
        <w:autoSpaceDN w:val="0"/>
        <w:adjustRightInd w:val="0"/>
        <w:ind w:left="709"/>
        <w:jc w:val="both"/>
        <w:rPr>
          <w:rFonts w:ascii="Arial" w:hAnsi="Arial" w:cs="Arial"/>
          <w:color w:val="000000"/>
          <w:szCs w:val="24"/>
          <w:lang w:val="en-GB" w:eastAsia="en-GB"/>
        </w:rPr>
      </w:pPr>
    </w:p>
    <w:p w14:paraId="25ABE8A9" w14:textId="7D41FB06" w:rsidR="00571D7B" w:rsidRPr="00642DC1" w:rsidRDefault="00706C23"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All the Fund’s investments are managed by external fund managers in pooled funds, one of which is passively managed, and the Council recognises the constraints inherent in this policy. Nevertheless</w:t>
      </w:r>
      <w:r w:rsidR="00BD1FFF">
        <w:rPr>
          <w:rFonts w:ascii="Arial" w:hAnsi="Arial" w:cs="Arial"/>
          <w:color w:val="000000"/>
          <w:szCs w:val="24"/>
          <w:lang w:val="en-GB" w:eastAsia="en-GB"/>
        </w:rPr>
        <w:t>,</w:t>
      </w:r>
      <w:r w:rsidRPr="00642DC1">
        <w:rPr>
          <w:rFonts w:ascii="Arial" w:hAnsi="Arial" w:cs="Arial"/>
          <w:color w:val="000000"/>
          <w:szCs w:val="24"/>
          <w:lang w:val="en-GB" w:eastAsia="en-GB"/>
        </w:rPr>
        <w:t xml:space="preserve"> it expects its managers, acting in the best financial interests of the Fund, to consider, amongst other factors, the effects of environmental, social and other issues on the performance of companies in which </w:t>
      </w:r>
      <w:r w:rsidR="00387D43" w:rsidRPr="00642DC1">
        <w:rPr>
          <w:rFonts w:ascii="Arial" w:hAnsi="Arial" w:cs="Arial"/>
          <w:color w:val="000000"/>
          <w:szCs w:val="24"/>
          <w:lang w:val="en-GB" w:eastAsia="en-GB"/>
        </w:rPr>
        <w:t>they</w:t>
      </w:r>
      <w:r w:rsidRPr="00642DC1">
        <w:rPr>
          <w:rFonts w:ascii="Arial" w:hAnsi="Arial" w:cs="Arial"/>
          <w:color w:val="000000"/>
          <w:szCs w:val="24"/>
          <w:lang w:val="en-GB" w:eastAsia="en-GB"/>
        </w:rPr>
        <w:t xml:space="preserve"> invest. </w:t>
      </w:r>
      <w:r w:rsidR="005B7FBC" w:rsidRPr="00642DC1">
        <w:rPr>
          <w:rFonts w:ascii="Arial" w:hAnsi="Arial" w:cs="Arial"/>
          <w:color w:val="000000"/>
          <w:szCs w:val="24"/>
          <w:lang w:val="en-GB" w:eastAsia="en-GB"/>
        </w:rPr>
        <w:t>Further, i</w:t>
      </w:r>
      <w:r w:rsidR="00571D7B" w:rsidRPr="00642DC1">
        <w:rPr>
          <w:rFonts w:ascii="Arial" w:hAnsi="Arial" w:cs="Arial"/>
          <w:color w:val="000000"/>
          <w:szCs w:val="24"/>
          <w:lang w:val="en-GB" w:eastAsia="en-GB"/>
        </w:rPr>
        <w:t>t expects its managers to follow good practice and use their influence as major institutional investors and long</w:t>
      </w:r>
      <w:r w:rsidR="00907585">
        <w:rPr>
          <w:rFonts w:ascii="Arial" w:hAnsi="Arial" w:cs="Arial"/>
          <w:color w:val="000000"/>
          <w:szCs w:val="24"/>
          <w:lang w:val="en-GB" w:eastAsia="en-GB"/>
        </w:rPr>
        <w:t>-</w:t>
      </w:r>
      <w:r w:rsidR="00571D7B" w:rsidRPr="00642DC1">
        <w:rPr>
          <w:rFonts w:ascii="Arial" w:hAnsi="Arial" w:cs="Arial"/>
          <w:color w:val="000000"/>
          <w:szCs w:val="24"/>
          <w:lang w:val="en-GB" w:eastAsia="en-GB"/>
        </w:rPr>
        <w:t>term stewards of capital to promote good practice in companies in which they invest and markets to which the Fund is exposed.</w:t>
      </w:r>
    </w:p>
    <w:p w14:paraId="4F096905" w14:textId="77777777" w:rsidR="005B7FBC" w:rsidRPr="00642DC1" w:rsidRDefault="005B7FBC" w:rsidP="00642DC1">
      <w:pPr>
        <w:autoSpaceDE w:val="0"/>
        <w:autoSpaceDN w:val="0"/>
        <w:adjustRightInd w:val="0"/>
        <w:ind w:left="709"/>
        <w:jc w:val="both"/>
        <w:rPr>
          <w:rFonts w:ascii="Arial" w:hAnsi="Arial" w:cs="Arial"/>
          <w:color w:val="000000"/>
          <w:szCs w:val="24"/>
          <w:lang w:val="en-GB" w:eastAsia="en-GB"/>
        </w:rPr>
      </w:pPr>
    </w:p>
    <w:p w14:paraId="370EC58D" w14:textId="7074C018" w:rsidR="005B7FBC" w:rsidRPr="00642DC1" w:rsidRDefault="005B7FBC"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The Fund expects its investment managers (and especially the London CIV through which the Fund will increasingly invest) to undertake appropriate monitoring of current investments with regard to their policies and practices on all issues which could present a </w:t>
      </w:r>
      <w:r w:rsidR="00784D3A" w:rsidRPr="00642DC1">
        <w:rPr>
          <w:rFonts w:ascii="Arial" w:hAnsi="Arial" w:cs="Arial"/>
          <w:color w:val="000000"/>
          <w:szCs w:val="24"/>
          <w:lang w:val="en-GB" w:eastAsia="en-GB"/>
        </w:rPr>
        <w:t>material</w:t>
      </w:r>
      <w:r w:rsidRPr="00642DC1">
        <w:rPr>
          <w:rFonts w:ascii="Arial" w:hAnsi="Arial" w:cs="Arial"/>
          <w:color w:val="000000"/>
          <w:szCs w:val="24"/>
          <w:lang w:val="en-GB" w:eastAsia="en-GB"/>
        </w:rPr>
        <w:t xml:space="preserve"> financial risk to the long term performance of the Fund. Effective monitoring can inform engagement with boards and management of investee companies </w:t>
      </w:r>
      <w:r w:rsidR="00B439D8" w:rsidRPr="00642DC1">
        <w:rPr>
          <w:rFonts w:ascii="Arial" w:hAnsi="Arial" w:cs="Arial"/>
          <w:color w:val="000000"/>
          <w:szCs w:val="24"/>
          <w:lang w:val="en-GB" w:eastAsia="en-GB"/>
        </w:rPr>
        <w:t xml:space="preserve">to seek the resolution of potential problems at an early stage. Where collaboration is likely to be the most effective mechanism for encouraging issues to be addressed the Fund expects its managers to participate in </w:t>
      </w:r>
      <w:r w:rsidR="00784D3A" w:rsidRPr="00642DC1">
        <w:rPr>
          <w:rFonts w:ascii="Arial" w:hAnsi="Arial" w:cs="Arial"/>
          <w:color w:val="000000"/>
          <w:szCs w:val="24"/>
          <w:lang w:val="en-GB" w:eastAsia="en-GB"/>
        </w:rPr>
        <w:t>joint</w:t>
      </w:r>
      <w:r w:rsidR="00B439D8" w:rsidRPr="00642DC1">
        <w:rPr>
          <w:rFonts w:ascii="Arial" w:hAnsi="Arial" w:cs="Arial"/>
          <w:color w:val="000000"/>
          <w:szCs w:val="24"/>
          <w:lang w:val="en-GB" w:eastAsia="en-GB"/>
        </w:rPr>
        <w:t xml:space="preserve"> action with other institutional investors as permitted by relevant legal and regulatory codes.</w:t>
      </w:r>
      <w:r w:rsidRPr="00642DC1">
        <w:rPr>
          <w:rFonts w:ascii="Arial" w:hAnsi="Arial" w:cs="Arial"/>
          <w:color w:val="000000"/>
          <w:szCs w:val="24"/>
          <w:lang w:val="en-GB" w:eastAsia="en-GB"/>
        </w:rPr>
        <w:t xml:space="preserve"> </w:t>
      </w:r>
    </w:p>
    <w:p w14:paraId="4CBD78CE" w14:textId="77777777" w:rsidR="00571D7B" w:rsidRPr="00642DC1" w:rsidRDefault="00571D7B" w:rsidP="00642DC1">
      <w:pPr>
        <w:autoSpaceDE w:val="0"/>
        <w:autoSpaceDN w:val="0"/>
        <w:adjustRightInd w:val="0"/>
        <w:ind w:left="709"/>
        <w:jc w:val="both"/>
        <w:rPr>
          <w:rFonts w:ascii="Arial" w:hAnsi="Arial" w:cs="Arial"/>
          <w:color w:val="000000"/>
          <w:szCs w:val="24"/>
          <w:lang w:val="en-GB" w:eastAsia="en-GB"/>
        </w:rPr>
      </w:pPr>
    </w:p>
    <w:p w14:paraId="1BD054B9" w14:textId="64FA08CC" w:rsidR="00CD3E37" w:rsidRPr="00642DC1" w:rsidRDefault="00706C23"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The Council expects its managers to have signed up to “The UK Stewardship Code” and to report regularly on their compliance with the Code and other relevant environmental, social and governance principles.</w:t>
      </w:r>
    </w:p>
    <w:p w14:paraId="224F078A" w14:textId="77777777" w:rsidR="00387D43" w:rsidRDefault="00387D43" w:rsidP="00387D43">
      <w:pPr>
        <w:tabs>
          <w:tab w:val="left" w:pos="709"/>
        </w:tabs>
        <w:ind w:left="709" w:hanging="709"/>
        <w:jc w:val="both"/>
        <w:rPr>
          <w:iCs/>
          <w:szCs w:val="24"/>
        </w:rPr>
      </w:pPr>
    </w:p>
    <w:p w14:paraId="4CE0F3CD" w14:textId="6423FA5E" w:rsidR="00B1721E" w:rsidRPr="00642DC1" w:rsidRDefault="00536ECD" w:rsidP="00642DC1">
      <w:pPr>
        <w:numPr>
          <w:ilvl w:val="1"/>
          <w:numId w:val="32"/>
        </w:numPr>
        <w:autoSpaceDE w:val="0"/>
        <w:autoSpaceDN w:val="0"/>
        <w:adjustRightInd w:val="0"/>
        <w:ind w:left="709" w:hanging="709"/>
        <w:jc w:val="both"/>
        <w:rPr>
          <w:rFonts w:cs="Arial"/>
          <w:iCs/>
          <w:color w:val="000000"/>
          <w:szCs w:val="24"/>
          <w:lang w:val="en-GB" w:eastAsia="en-GB"/>
        </w:rPr>
      </w:pPr>
      <w:r>
        <w:rPr>
          <w:rFonts w:ascii="Arial" w:hAnsi="Arial" w:cs="Arial"/>
          <w:color w:val="000000"/>
          <w:szCs w:val="24"/>
          <w:lang w:val="en-GB" w:eastAsia="en-GB"/>
        </w:rPr>
        <w:t>E</w:t>
      </w:r>
      <w:r w:rsidR="00B1721E" w:rsidRPr="00642DC1">
        <w:rPr>
          <w:rFonts w:ascii="Arial" w:hAnsi="Arial" w:cs="Arial"/>
          <w:color w:val="000000"/>
          <w:szCs w:val="24"/>
          <w:lang w:val="en-GB" w:eastAsia="en-GB"/>
        </w:rPr>
        <w:t xml:space="preserve">ach of the Fund’s investment managers </w:t>
      </w:r>
      <w:r>
        <w:rPr>
          <w:rFonts w:ascii="Arial" w:hAnsi="Arial" w:cs="Arial"/>
          <w:color w:val="000000"/>
          <w:szCs w:val="24"/>
          <w:lang w:val="en-GB" w:eastAsia="en-GB"/>
        </w:rPr>
        <w:t>will be</w:t>
      </w:r>
      <w:r w:rsidR="00B1721E" w:rsidRPr="00642DC1">
        <w:rPr>
          <w:rFonts w:ascii="Arial" w:hAnsi="Arial" w:cs="Arial"/>
          <w:color w:val="000000"/>
          <w:szCs w:val="24"/>
          <w:lang w:val="en-GB" w:eastAsia="en-GB"/>
        </w:rPr>
        <w:t xml:space="preserve"> </w:t>
      </w:r>
      <w:r w:rsidR="00A24365" w:rsidRPr="00642DC1">
        <w:rPr>
          <w:rFonts w:ascii="Arial" w:hAnsi="Arial" w:cs="Arial"/>
          <w:color w:val="000000"/>
          <w:szCs w:val="24"/>
          <w:lang w:val="en-GB" w:eastAsia="en-GB"/>
        </w:rPr>
        <w:t>asked</w:t>
      </w:r>
      <w:r>
        <w:rPr>
          <w:rFonts w:ascii="Arial" w:hAnsi="Arial" w:cs="Arial"/>
          <w:color w:val="000000"/>
          <w:szCs w:val="24"/>
          <w:lang w:val="en-GB" w:eastAsia="en-GB"/>
        </w:rPr>
        <w:t xml:space="preserve"> annually</w:t>
      </w:r>
      <w:r w:rsidR="00A24365" w:rsidRPr="00642DC1">
        <w:rPr>
          <w:rFonts w:ascii="Arial" w:hAnsi="Arial" w:cs="Arial"/>
          <w:color w:val="000000"/>
          <w:szCs w:val="24"/>
          <w:lang w:val="en-GB" w:eastAsia="en-GB"/>
        </w:rPr>
        <w:t>:</w:t>
      </w:r>
    </w:p>
    <w:p w14:paraId="6CF5E1ED" w14:textId="77777777" w:rsidR="00B1721E" w:rsidRPr="00B72978" w:rsidRDefault="00B1721E" w:rsidP="004B5F6A">
      <w:pPr>
        <w:pStyle w:val="BodyTextIndent2"/>
        <w:numPr>
          <w:ilvl w:val="0"/>
          <w:numId w:val="19"/>
        </w:numPr>
        <w:tabs>
          <w:tab w:val="left" w:pos="567"/>
          <w:tab w:val="left" w:pos="1701"/>
        </w:tabs>
        <w:ind w:left="1701" w:hanging="567"/>
        <w:jc w:val="both"/>
        <w:rPr>
          <w:szCs w:val="24"/>
        </w:rPr>
      </w:pPr>
      <w:r w:rsidRPr="00B72978">
        <w:rPr>
          <w:szCs w:val="24"/>
        </w:rPr>
        <w:t>Whether they had signed up to UN Principles for Responsible Investment (PRI)</w:t>
      </w:r>
    </w:p>
    <w:p w14:paraId="2FE934DD" w14:textId="77777777" w:rsidR="00B1721E" w:rsidRPr="00B72978" w:rsidRDefault="00B1721E" w:rsidP="004B5F6A">
      <w:pPr>
        <w:pStyle w:val="BodyTextIndent2"/>
        <w:numPr>
          <w:ilvl w:val="0"/>
          <w:numId w:val="19"/>
        </w:numPr>
        <w:tabs>
          <w:tab w:val="left" w:pos="567"/>
          <w:tab w:val="left" w:pos="1701"/>
        </w:tabs>
        <w:ind w:left="1701" w:hanging="567"/>
        <w:jc w:val="both"/>
        <w:rPr>
          <w:szCs w:val="24"/>
        </w:rPr>
      </w:pPr>
      <w:r w:rsidRPr="00B72978">
        <w:rPr>
          <w:szCs w:val="24"/>
        </w:rPr>
        <w:t>Whether they had signed up to “The UK Stewardship Code”</w:t>
      </w:r>
    </w:p>
    <w:p w14:paraId="209DCE31" w14:textId="77777777" w:rsidR="008A6DF8" w:rsidRDefault="00B1721E" w:rsidP="004B5F6A">
      <w:pPr>
        <w:pStyle w:val="BodyTextIndent2"/>
        <w:numPr>
          <w:ilvl w:val="0"/>
          <w:numId w:val="19"/>
        </w:numPr>
        <w:tabs>
          <w:tab w:val="left" w:pos="567"/>
          <w:tab w:val="left" w:pos="1701"/>
        </w:tabs>
        <w:ind w:left="1701" w:hanging="567"/>
        <w:jc w:val="both"/>
        <w:rPr>
          <w:szCs w:val="24"/>
        </w:rPr>
      </w:pPr>
      <w:r w:rsidRPr="00B72978">
        <w:rPr>
          <w:szCs w:val="24"/>
        </w:rPr>
        <w:t>To provide reports on their engagement and voting actions</w:t>
      </w:r>
    </w:p>
    <w:p w14:paraId="60FBE15A" w14:textId="77777777" w:rsidR="00B72978" w:rsidRPr="00B72978" w:rsidRDefault="00B72978" w:rsidP="00B72978">
      <w:pPr>
        <w:pStyle w:val="BodyTextIndent2"/>
        <w:tabs>
          <w:tab w:val="left" w:pos="567"/>
          <w:tab w:val="left" w:pos="1701"/>
        </w:tabs>
        <w:ind w:left="1701" w:firstLine="0"/>
        <w:jc w:val="both"/>
        <w:rPr>
          <w:szCs w:val="24"/>
        </w:rPr>
      </w:pPr>
    </w:p>
    <w:p w14:paraId="3A011256" w14:textId="5348CECD" w:rsidR="00186423" w:rsidRDefault="008A6DF8" w:rsidP="00387D43">
      <w:pPr>
        <w:pStyle w:val="BodyTextGrey"/>
        <w:ind w:left="709"/>
      </w:pPr>
      <w:r w:rsidRPr="00CA4064">
        <w:rPr>
          <w:rFonts w:cs="Times New Roman"/>
          <w:iCs w:val="0"/>
          <w:color w:val="auto"/>
          <w:sz w:val="24"/>
          <w:szCs w:val="24"/>
          <w:lang w:val="en-US"/>
        </w:rPr>
        <w:t xml:space="preserve">The responses to these queries </w:t>
      </w:r>
      <w:r w:rsidR="00536ECD">
        <w:rPr>
          <w:rFonts w:cs="Times New Roman"/>
          <w:iCs w:val="0"/>
          <w:color w:val="auto"/>
          <w:sz w:val="24"/>
          <w:szCs w:val="24"/>
          <w:lang w:val="en-US"/>
        </w:rPr>
        <w:t>will be made</w:t>
      </w:r>
      <w:r w:rsidR="00536ECD" w:rsidRPr="00CA4064">
        <w:rPr>
          <w:rFonts w:cs="Times New Roman"/>
          <w:iCs w:val="0"/>
          <w:color w:val="auto"/>
          <w:sz w:val="24"/>
          <w:szCs w:val="24"/>
          <w:lang w:val="en-US"/>
        </w:rPr>
        <w:t xml:space="preserve"> </w:t>
      </w:r>
      <w:r w:rsidRPr="00CA4064">
        <w:rPr>
          <w:rFonts w:cs="Times New Roman"/>
          <w:iCs w:val="0"/>
          <w:color w:val="auto"/>
          <w:sz w:val="24"/>
          <w:szCs w:val="24"/>
          <w:lang w:val="en-US"/>
        </w:rPr>
        <w:t xml:space="preserve">available on the Fund’s website </w:t>
      </w:r>
    </w:p>
    <w:p w14:paraId="5DB900C1" w14:textId="28C8476E" w:rsidR="00A078EE" w:rsidRDefault="008A6DF8" w:rsidP="000F2FFD">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In addition </w:t>
      </w:r>
      <w:r w:rsidR="002B233B" w:rsidRPr="00642DC1">
        <w:rPr>
          <w:rFonts w:ascii="Arial" w:hAnsi="Arial" w:cs="Arial"/>
          <w:color w:val="000000"/>
          <w:szCs w:val="24"/>
          <w:lang w:val="en-GB" w:eastAsia="en-GB"/>
        </w:rPr>
        <w:t>t</w:t>
      </w:r>
      <w:r w:rsidRPr="00642DC1">
        <w:rPr>
          <w:rFonts w:ascii="Arial" w:hAnsi="Arial" w:cs="Arial"/>
          <w:color w:val="000000"/>
          <w:szCs w:val="24"/>
          <w:lang w:val="en-GB" w:eastAsia="en-GB"/>
        </w:rPr>
        <w:t xml:space="preserve">he Committee meets most of its managers at least once a year and they are always asked </w:t>
      </w:r>
      <w:r w:rsidR="004C59A2" w:rsidRPr="00642DC1">
        <w:rPr>
          <w:rFonts w:ascii="Arial" w:hAnsi="Arial" w:cs="Arial"/>
          <w:color w:val="000000"/>
          <w:szCs w:val="24"/>
          <w:lang w:val="en-GB" w:eastAsia="en-GB"/>
        </w:rPr>
        <w:t>to d</w:t>
      </w:r>
      <w:r w:rsidR="00CA4064" w:rsidRPr="00642DC1">
        <w:rPr>
          <w:rFonts w:ascii="Arial" w:hAnsi="Arial" w:cs="Arial"/>
          <w:color w:val="000000"/>
          <w:szCs w:val="24"/>
          <w:lang w:val="en-GB" w:eastAsia="en-GB"/>
        </w:rPr>
        <w:t>iscuss the</w:t>
      </w:r>
      <w:r w:rsidRPr="00642DC1">
        <w:rPr>
          <w:rFonts w:ascii="Arial" w:hAnsi="Arial" w:cs="Arial"/>
          <w:color w:val="000000"/>
          <w:szCs w:val="24"/>
          <w:lang w:val="en-GB" w:eastAsia="en-GB"/>
        </w:rPr>
        <w:t xml:space="preserve"> activit</w:t>
      </w:r>
      <w:r w:rsidR="00CA4064" w:rsidRPr="00642DC1">
        <w:rPr>
          <w:rFonts w:ascii="Arial" w:hAnsi="Arial" w:cs="Arial"/>
          <w:color w:val="000000"/>
          <w:szCs w:val="24"/>
          <w:lang w:val="en-GB" w:eastAsia="en-GB"/>
        </w:rPr>
        <w:t>ies</w:t>
      </w:r>
      <w:r w:rsidRPr="00642DC1">
        <w:rPr>
          <w:rFonts w:ascii="Arial" w:hAnsi="Arial" w:cs="Arial"/>
          <w:color w:val="000000"/>
          <w:szCs w:val="24"/>
          <w:lang w:val="en-GB" w:eastAsia="en-GB"/>
        </w:rPr>
        <w:t xml:space="preserve"> </w:t>
      </w:r>
      <w:r w:rsidR="004C59A2" w:rsidRPr="00642DC1">
        <w:rPr>
          <w:rFonts w:ascii="Arial" w:hAnsi="Arial" w:cs="Arial"/>
          <w:color w:val="000000"/>
          <w:szCs w:val="24"/>
          <w:lang w:val="en-GB" w:eastAsia="en-GB"/>
        </w:rPr>
        <w:t>they</w:t>
      </w:r>
      <w:r w:rsidRPr="00642DC1">
        <w:rPr>
          <w:rFonts w:ascii="Arial" w:hAnsi="Arial" w:cs="Arial"/>
          <w:color w:val="000000"/>
          <w:szCs w:val="24"/>
          <w:lang w:val="en-GB" w:eastAsia="en-GB"/>
        </w:rPr>
        <w:t xml:space="preserve"> undertake in respect of </w:t>
      </w:r>
      <w:r w:rsidR="00CA4064" w:rsidRPr="00642DC1">
        <w:rPr>
          <w:rFonts w:ascii="Arial" w:hAnsi="Arial" w:cs="Arial"/>
          <w:color w:val="000000"/>
          <w:szCs w:val="24"/>
          <w:lang w:val="en-GB" w:eastAsia="en-GB"/>
        </w:rPr>
        <w:t>s</w:t>
      </w:r>
      <w:r w:rsidRPr="00642DC1">
        <w:rPr>
          <w:rFonts w:ascii="Arial" w:hAnsi="Arial" w:cs="Arial"/>
          <w:color w:val="000000"/>
          <w:szCs w:val="24"/>
          <w:lang w:val="en-GB" w:eastAsia="en-GB"/>
        </w:rPr>
        <w:t xml:space="preserve">ocially </w:t>
      </w:r>
      <w:r w:rsidR="00CA4064" w:rsidRPr="00642DC1">
        <w:rPr>
          <w:rFonts w:ascii="Arial" w:hAnsi="Arial" w:cs="Arial"/>
          <w:color w:val="000000"/>
          <w:szCs w:val="24"/>
          <w:lang w:val="en-GB" w:eastAsia="en-GB"/>
        </w:rPr>
        <w:t>r</w:t>
      </w:r>
      <w:r w:rsidRPr="00642DC1">
        <w:rPr>
          <w:rFonts w:ascii="Arial" w:hAnsi="Arial" w:cs="Arial"/>
          <w:color w:val="000000"/>
          <w:szCs w:val="24"/>
          <w:lang w:val="en-GB" w:eastAsia="en-GB"/>
        </w:rPr>
        <w:t xml:space="preserve">esponsible </w:t>
      </w:r>
      <w:r w:rsidR="00CA4064" w:rsidRPr="00642DC1">
        <w:rPr>
          <w:rFonts w:ascii="Arial" w:hAnsi="Arial" w:cs="Arial"/>
          <w:color w:val="000000"/>
          <w:szCs w:val="24"/>
          <w:lang w:val="en-GB" w:eastAsia="en-GB"/>
        </w:rPr>
        <w:t>i</w:t>
      </w:r>
      <w:r w:rsidRPr="00642DC1">
        <w:rPr>
          <w:rFonts w:ascii="Arial" w:hAnsi="Arial" w:cs="Arial"/>
          <w:color w:val="000000"/>
          <w:szCs w:val="24"/>
          <w:lang w:val="en-GB" w:eastAsia="en-GB"/>
        </w:rPr>
        <w:t xml:space="preserve">nvestment and how </w:t>
      </w:r>
      <w:r w:rsidR="004C59A2" w:rsidRPr="00642DC1">
        <w:rPr>
          <w:rFonts w:ascii="Arial" w:hAnsi="Arial" w:cs="Arial"/>
          <w:color w:val="000000"/>
          <w:szCs w:val="24"/>
          <w:lang w:val="en-GB" w:eastAsia="en-GB"/>
        </w:rPr>
        <w:t>they</w:t>
      </w:r>
      <w:r w:rsidRPr="00642DC1">
        <w:rPr>
          <w:rFonts w:ascii="Arial" w:hAnsi="Arial" w:cs="Arial"/>
          <w:color w:val="000000"/>
          <w:szCs w:val="24"/>
          <w:lang w:val="en-GB" w:eastAsia="en-GB"/>
        </w:rPr>
        <w:t xml:space="preserve"> consider long term </w:t>
      </w:r>
      <w:r w:rsidR="004C59A2" w:rsidRPr="00642DC1">
        <w:rPr>
          <w:rFonts w:ascii="Arial" w:hAnsi="Arial" w:cs="Arial"/>
          <w:color w:val="000000"/>
          <w:szCs w:val="24"/>
          <w:lang w:val="en-GB" w:eastAsia="en-GB"/>
        </w:rPr>
        <w:t xml:space="preserve">environmental, social and governance </w:t>
      </w:r>
      <w:r w:rsidRPr="00642DC1">
        <w:rPr>
          <w:rFonts w:ascii="Arial" w:hAnsi="Arial" w:cs="Arial"/>
          <w:color w:val="000000"/>
          <w:szCs w:val="24"/>
          <w:lang w:val="en-GB" w:eastAsia="en-GB"/>
        </w:rPr>
        <w:t xml:space="preserve"> risks in making specific investment decisions</w:t>
      </w:r>
      <w:r w:rsidR="00A96413">
        <w:rPr>
          <w:rFonts w:ascii="Arial" w:hAnsi="Arial" w:cs="Arial"/>
          <w:color w:val="000000"/>
          <w:szCs w:val="24"/>
          <w:lang w:val="en-GB" w:eastAsia="en-GB"/>
        </w:rPr>
        <w:t>.</w:t>
      </w:r>
    </w:p>
    <w:p w14:paraId="266903F4" w14:textId="77777777" w:rsidR="00A96413" w:rsidRDefault="00A96413" w:rsidP="00A96413">
      <w:pPr>
        <w:autoSpaceDE w:val="0"/>
        <w:autoSpaceDN w:val="0"/>
        <w:adjustRightInd w:val="0"/>
        <w:ind w:left="709"/>
        <w:jc w:val="both"/>
        <w:rPr>
          <w:rFonts w:ascii="Arial" w:hAnsi="Arial" w:cs="Arial"/>
          <w:color w:val="000000"/>
          <w:szCs w:val="24"/>
          <w:lang w:val="en-GB" w:eastAsia="en-GB"/>
        </w:rPr>
      </w:pPr>
    </w:p>
    <w:p w14:paraId="07E96A32" w14:textId="76864154" w:rsidR="008A6DF8" w:rsidRPr="00642DC1" w:rsidRDefault="008A6DF8"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The Fund is a member of the L</w:t>
      </w:r>
      <w:r w:rsidR="004828FA" w:rsidRPr="00642DC1">
        <w:rPr>
          <w:rFonts w:ascii="Arial" w:hAnsi="Arial" w:cs="Arial"/>
          <w:color w:val="000000"/>
          <w:szCs w:val="24"/>
          <w:lang w:val="en-GB" w:eastAsia="en-GB"/>
        </w:rPr>
        <w:t>ocal Authority Pension Fund Forum</w:t>
      </w:r>
      <w:r w:rsidR="00A078EE">
        <w:rPr>
          <w:rFonts w:ascii="Arial" w:hAnsi="Arial" w:cs="Arial"/>
          <w:color w:val="000000"/>
          <w:szCs w:val="24"/>
          <w:lang w:val="en-GB" w:eastAsia="en-GB"/>
        </w:rPr>
        <w:t>,</w:t>
      </w:r>
      <w:r w:rsidR="004828FA" w:rsidRPr="00642DC1">
        <w:rPr>
          <w:rFonts w:ascii="Arial" w:hAnsi="Arial" w:cs="Arial"/>
          <w:color w:val="000000"/>
          <w:szCs w:val="24"/>
          <w:lang w:val="en-GB" w:eastAsia="en-GB"/>
        </w:rPr>
        <w:t xml:space="preserve"> which engages with many companies on a wide range of environmental, social and governance issues.</w:t>
      </w:r>
    </w:p>
    <w:p w14:paraId="209BA209" w14:textId="77777777" w:rsidR="007B6799" w:rsidRPr="00642DC1" w:rsidRDefault="007B6799" w:rsidP="00642DC1">
      <w:pPr>
        <w:autoSpaceDE w:val="0"/>
        <w:autoSpaceDN w:val="0"/>
        <w:adjustRightInd w:val="0"/>
        <w:ind w:left="709"/>
        <w:jc w:val="both"/>
        <w:rPr>
          <w:rFonts w:ascii="Arial" w:hAnsi="Arial" w:cs="Arial"/>
          <w:color w:val="000000"/>
          <w:szCs w:val="24"/>
          <w:lang w:val="en-GB" w:eastAsia="en-GB"/>
        </w:rPr>
      </w:pPr>
    </w:p>
    <w:p w14:paraId="0DA3EAA5" w14:textId="7B07BC8B" w:rsidR="007B6799" w:rsidRPr="006B589D" w:rsidRDefault="007B6799" w:rsidP="00642DC1">
      <w:pPr>
        <w:numPr>
          <w:ilvl w:val="1"/>
          <w:numId w:val="32"/>
        </w:numPr>
        <w:autoSpaceDE w:val="0"/>
        <w:autoSpaceDN w:val="0"/>
        <w:adjustRightInd w:val="0"/>
        <w:ind w:left="709" w:hanging="709"/>
        <w:jc w:val="both"/>
        <w:rPr>
          <w:iCs/>
          <w:color w:val="000000"/>
          <w:szCs w:val="24"/>
          <w:lang w:eastAsia="en-GB"/>
        </w:rPr>
      </w:pPr>
      <w:r w:rsidRPr="00642DC1">
        <w:rPr>
          <w:rFonts w:ascii="Arial" w:hAnsi="Arial" w:cs="Arial"/>
          <w:color w:val="000000"/>
          <w:szCs w:val="24"/>
          <w:lang w:val="en-GB" w:eastAsia="en-GB"/>
        </w:rPr>
        <w:t>The Fund does not hold any assets which it deems to be social investments.</w:t>
      </w:r>
    </w:p>
    <w:p w14:paraId="0B390DD9" w14:textId="77777777" w:rsidR="006B589D" w:rsidRPr="006B589D" w:rsidRDefault="006B589D" w:rsidP="006B589D">
      <w:pPr>
        <w:pStyle w:val="ListParagraph"/>
        <w:rPr>
          <w:iCs/>
          <w:color w:val="FF0000"/>
          <w:szCs w:val="24"/>
          <w:lang w:eastAsia="en-GB"/>
        </w:rPr>
      </w:pPr>
    </w:p>
    <w:p w14:paraId="72D908F2" w14:textId="1F64944D" w:rsidR="006B589D" w:rsidRPr="00C43E42" w:rsidRDefault="006B589D" w:rsidP="00642DC1">
      <w:pPr>
        <w:numPr>
          <w:ilvl w:val="1"/>
          <w:numId w:val="32"/>
        </w:numPr>
        <w:autoSpaceDE w:val="0"/>
        <w:autoSpaceDN w:val="0"/>
        <w:adjustRightInd w:val="0"/>
        <w:ind w:left="709" w:hanging="709"/>
        <w:jc w:val="both"/>
        <w:rPr>
          <w:rFonts w:ascii="Arial" w:hAnsi="Arial" w:cs="Arial"/>
          <w:iCs/>
          <w:szCs w:val="24"/>
          <w:lang w:eastAsia="en-GB"/>
        </w:rPr>
      </w:pPr>
      <w:r w:rsidRPr="00C43E42">
        <w:rPr>
          <w:rFonts w:ascii="Arial" w:hAnsi="Arial" w:cs="Arial"/>
          <w:iCs/>
          <w:szCs w:val="24"/>
          <w:lang w:eastAsia="en-GB"/>
        </w:rPr>
        <w:t>The Fund has developed a Responsible Investment Policy which sets out in greater detail its approach on ESG issues.</w:t>
      </w:r>
    </w:p>
    <w:p w14:paraId="646D7855" w14:textId="77777777" w:rsidR="007B6799" w:rsidRPr="006B589D" w:rsidRDefault="007B6799" w:rsidP="00B72978">
      <w:pPr>
        <w:ind w:left="709" w:hanging="709"/>
        <w:rPr>
          <w:rFonts w:ascii="Arial" w:hAnsi="Arial" w:cs="Arial"/>
          <w:sz w:val="22"/>
          <w:szCs w:val="22"/>
          <w:lang w:val="en-GB"/>
        </w:rPr>
      </w:pPr>
    </w:p>
    <w:p w14:paraId="56AE3E27" w14:textId="19D5EC93" w:rsidR="00725A19" w:rsidRPr="002B233B" w:rsidRDefault="00725A19" w:rsidP="00F95D72">
      <w:pPr>
        <w:pStyle w:val="Heading2"/>
        <w:numPr>
          <w:ilvl w:val="0"/>
          <w:numId w:val="32"/>
        </w:numPr>
        <w:ind w:left="709" w:right="425" w:hanging="709"/>
        <w:jc w:val="both"/>
        <w:rPr>
          <w:rFonts w:ascii="Arial" w:hAnsi="Arial" w:cs="Arial"/>
          <w:sz w:val="28"/>
          <w:szCs w:val="28"/>
        </w:rPr>
      </w:pPr>
      <w:bookmarkStart w:id="2" w:name="_Toc398544564"/>
      <w:r w:rsidRPr="002B233B">
        <w:rPr>
          <w:rFonts w:ascii="Arial" w:hAnsi="Arial" w:cs="Arial"/>
          <w:sz w:val="28"/>
          <w:szCs w:val="28"/>
        </w:rPr>
        <w:t>Exercise of the rights (including voting rights) attaching to investments</w:t>
      </w:r>
      <w:bookmarkEnd w:id="2"/>
    </w:p>
    <w:p w14:paraId="75933FDF" w14:textId="77777777" w:rsidR="00725A19" w:rsidRDefault="00725A19" w:rsidP="00725A19">
      <w:pPr>
        <w:ind w:left="720"/>
        <w:jc w:val="both"/>
        <w:rPr>
          <w:rFonts w:ascii="Arial" w:hAnsi="Arial" w:cs="Arial"/>
          <w:szCs w:val="18"/>
          <w:lang w:val="en-GB"/>
        </w:rPr>
      </w:pPr>
    </w:p>
    <w:p w14:paraId="2D0648D2" w14:textId="6EC7B74C" w:rsidR="00B57B0E" w:rsidRPr="00F95D72" w:rsidRDefault="00B57B0E" w:rsidP="00F95D72">
      <w:pPr>
        <w:numPr>
          <w:ilvl w:val="1"/>
          <w:numId w:val="32"/>
        </w:numPr>
        <w:autoSpaceDE w:val="0"/>
        <w:autoSpaceDN w:val="0"/>
        <w:adjustRightInd w:val="0"/>
        <w:ind w:left="709" w:hanging="709"/>
        <w:jc w:val="both"/>
        <w:rPr>
          <w:rFonts w:ascii="Arial" w:hAnsi="Arial" w:cs="Arial"/>
          <w:color w:val="000000"/>
          <w:szCs w:val="24"/>
          <w:lang w:val="en-GB" w:eastAsia="en-GB"/>
        </w:rPr>
      </w:pPr>
      <w:r w:rsidRPr="00F95D72">
        <w:rPr>
          <w:rFonts w:ascii="Arial" w:hAnsi="Arial" w:cs="Arial"/>
          <w:color w:val="000000"/>
          <w:szCs w:val="24"/>
          <w:lang w:val="en-GB" w:eastAsia="en-GB"/>
        </w:rPr>
        <w:t xml:space="preserve">The Fund recognises the importance of its role as a steward of capital and of the need to seek to ensure the highest standards of governance and corporate responsibility in the underlying companies in which its investments reside. </w:t>
      </w:r>
    </w:p>
    <w:p w14:paraId="65246F09" w14:textId="77777777" w:rsidR="00B57B0E" w:rsidRPr="00642DC1" w:rsidRDefault="00B57B0E" w:rsidP="00642DC1">
      <w:pPr>
        <w:autoSpaceDE w:val="0"/>
        <w:autoSpaceDN w:val="0"/>
        <w:adjustRightInd w:val="0"/>
        <w:ind w:left="709"/>
        <w:jc w:val="both"/>
        <w:rPr>
          <w:rFonts w:ascii="Arial" w:hAnsi="Arial" w:cs="Arial"/>
          <w:color w:val="000000"/>
          <w:szCs w:val="24"/>
          <w:lang w:val="en-GB" w:eastAsia="en-GB"/>
        </w:rPr>
      </w:pPr>
    </w:p>
    <w:p w14:paraId="2AA50A12" w14:textId="5B0D67C5" w:rsidR="00A078EE" w:rsidRPr="00642DC1" w:rsidRDefault="00725A19"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The Council </w:t>
      </w:r>
      <w:r w:rsidR="00531A10" w:rsidRPr="00642DC1">
        <w:rPr>
          <w:rFonts w:ascii="Arial" w:hAnsi="Arial" w:cs="Arial"/>
          <w:color w:val="000000"/>
          <w:szCs w:val="24"/>
          <w:lang w:val="en-GB" w:eastAsia="en-GB"/>
        </w:rPr>
        <w:t>sees itself as</w:t>
      </w:r>
      <w:r w:rsidRPr="00642DC1">
        <w:rPr>
          <w:rFonts w:ascii="Arial" w:hAnsi="Arial" w:cs="Arial"/>
          <w:color w:val="000000"/>
          <w:szCs w:val="24"/>
          <w:lang w:val="en-GB" w:eastAsia="en-GB"/>
        </w:rPr>
        <w:t xml:space="preserve"> an active shareholder and </w:t>
      </w:r>
      <w:r w:rsidR="00531A10" w:rsidRPr="00642DC1">
        <w:rPr>
          <w:rFonts w:ascii="Arial" w:hAnsi="Arial" w:cs="Arial"/>
          <w:color w:val="000000"/>
          <w:szCs w:val="24"/>
          <w:lang w:val="en-GB" w:eastAsia="en-GB"/>
        </w:rPr>
        <w:t xml:space="preserve">seeks to </w:t>
      </w:r>
      <w:r w:rsidRPr="00642DC1">
        <w:rPr>
          <w:rFonts w:ascii="Arial" w:hAnsi="Arial" w:cs="Arial"/>
          <w:color w:val="000000"/>
          <w:szCs w:val="24"/>
          <w:lang w:val="en-GB" w:eastAsia="en-GB"/>
        </w:rPr>
        <w:t xml:space="preserve">exercise its rights (including voting rights) to promote and support good corporate governance principles which in turn will feed through into good investment performance. </w:t>
      </w:r>
      <w:r w:rsidR="00A078EE" w:rsidRPr="00642DC1">
        <w:rPr>
          <w:rFonts w:ascii="Arial" w:hAnsi="Arial" w:cs="Arial"/>
          <w:color w:val="000000"/>
          <w:szCs w:val="24"/>
          <w:lang w:val="en-GB" w:eastAsia="en-GB"/>
        </w:rPr>
        <w:t>The Fund is a member of the Local Authority Pension Fund Forum and in this way joins with other LGPS Funds to magnify its voice and maximise the influence of investors as asset owners</w:t>
      </w:r>
    </w:p>
    <w:p w14:paraId="308C95F8" w14:textId="77777777" w:rsidR="00725A19" w:rsidRPr="00642DC1" w:rsidRDefault="00725A19" w:rsidP="00642DC1">
      <w:pPr>
        <w:autoSpaceDE w:val="0"/>
        <w:autoSpaceDN w:val="0"/>
        <w:adjustRightInd w:val="0"/>
        <w:ind w:left="709"/>
        <w:jc w:val="both"/>
        <w:rPr>
          <w:rFonts w:ascii="Arial" w:hAnsi="Arial" w:cs="Arial"/>
          <w:color w:val="000000"/>
          <w:szCs w:val="24"/>
          <w:lang w:val="en-GB" w:eastAsia="en-GB"/>
        </w:rPr>
      </w:pPr>
    </w:p>
    <w:p w14:paraId="1C62083D" w14:textId="7D161C73" w:rsidR="00531A10" w:rsidRPr="00642DC1" w:rsidRDefault="00725A19" w:rsidP="00642DC1">
      <w:pPr>
        <w:numPr>
          <w:ilvl w:val="1"/>
          <w:numId w:val="32"/>
        </w:numPr>
        <w:autoSpaceDE w:val="0"/>
        <w:autoSpaceDN w:val="0"/>
        <w:adjustRightInd w:val="0"/>
        <w:ind w:left="709" w:hanging="709"/>
        <w:jc w:val="both"/>
        <w:rPr>
          <w:rFonts w:cs="Arial"/>
          <w:color w:val="000000"/>
          <w:szCs w:val="24"/>
          <w:lang w:val="en-GB" w:eastAsia="en-GB"/>
        </w:rPr>
      </w:pPr>
      <w:r w:rsidRPr="00642DC1">
        <w:rPr>
          <w:rFonts w:ascii="Arial" w:hAnsi="Arial" w:cs="Arial"/>
          <w:color w:val="000000"/>
          <w:szCs w:val="24"/>
          <w:lang w:val="en-GB" w:eastAsia="en-GB"/>
        </w:rPr>
        <w:t>In practice, the Fund’s equity holdings are wholly invested through pooled funds in which voting and engagement decisions are made by fund managers.  The Council encourages its fund managers to vote and engage with investee companies worldwide to ensure they comply with best practice in corporate governance in each locality</w:t>
      </w:r>
      <w:r w:rsidR="008D5BC4" w:rsidRPr="00642DC1">
        <w:rPr>
          <w:rFonts w:ascii="Arial" w:hAnsi="Arial" w:cs="Arial"/>
          <w:color w:val="000000"/>
          <w:szCs w:val="24"/>
          <w:lang w:val="en-GB" w:eastAsia="en-GB"/>
        </w:rPr>
        <w:t xml:space="preserve"> with the objective of preserving and enhancing long term shareholder value</w:t>
      </w:r>
      <w:r w:rsidRPr="00642DC1">
        <w:rPr>
          <w:rFonts w:ascii="Arial" w:hAnsi="Arial" w:cs="Arial"/>
          <w:color w:val="000000"/>
          <w:szCs w:val="24"/>
          <w:lang w:val="en-GB" w:eastAsia="en-GB"/>
        </w:rPr>
        <w:t xml:space="preserve">.  </w:t>
      </w:r>
    </w:p>
    <w:p w14:paraId="77E2C806" w14:textId="77777777" w:rsidR="00531A10" w:rsidRPr="00642DC1" w:rsidRDefault="00531A10" w:rsidP="00642DC1">
      <w:pPr>
        <w:autoSpaceDE w:val="0"/>
        <w:autoSpaceDN w:val="0"/>
        <w:adjustRightInd w:val="0"/>
        <w:ind w:left="709"/>
        <w:jc w:val="both"/>
        <w:rPr>
          <w:rFonts w:cs="Arial"/>
          <w:color w:val="000000"/>
          <w:szCs w:val="24"/>
          <w:lang w:val="en-GB" w:eastAsia="en-GB"/>
        </w:rPr>
      </w:pPr>
    </w:p>
    <w:p w14:paraId="50FD2B8D" w14:textId="7231C1AE" w:rsidR="00D86BBC" w:rsidRPr="00642DC1" w:rsidRDefault="00D86BBC"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Accordingly, the Fund’s managers have produced written guidelines of their process and practice in this regard. The managers are strongly encouraged to vote in line with voting alerts issued by the Local Authority Pension Fund Forum as far as practically possible to do so.</w:t>
      </w:r>
    </w:p>
    <w:p w14:paraId="46C3AEC2" w14:textId="77777777" w:rsidR="00725A19" w:rsidRPr="00642DC1" w:rsidRDefault="00725A19" w:rsidP="00642DC1">
      <w:pPr>
        <w:autoSpaceDE w:val="0"/>
        <w:autoSpaceDN w:val="0"/>
        <w:adjustRightInd w:val="0"/>
        <w:ind w:left="709"/>
        <w:jc w:val="both"/>
        <w:rPr>
          <w:rFonts w:ascii="Arial" w:hAnsi="Arial" w:cs="Arial"/>
          <w:color w:val="000000"/>
          <w:szCs w:val="24"/>
          <w:lang w:val="en-GB" w:eastAsia="en-GB"/>
        </w:rPr>
      </w:pPr>
    </w:p>
    <w:p w14:paraId="4467D6D8" w14:textId="0CEF8E62" w:rsidR="00D86BBC" w:rsidRDefault="00531A10" w:rsidP="00D86BBC">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The fund managers provide reports on their voting and engagement activities.</w:t>
      </w:r>
    </w:p>
    <w:p w14:paraId="158504B4" w14:textId="77777777" w:rsidR="00D86BBC" w:rsidRDefault="00D86BBC" w:rsidP="00642DC1">
      <w:pPr>
        <w:autoSpaceDE w:val="0"/>
        <w:autoSpaceDN w:val="0"/>
        <w:adjustRightInd w:val="0"/>
        <w:ind w:left="709"/>
        <w:jc w:val="both"/>
        <w:rPr>
          <w:rFonts w:ascii="Arial" w:hAnsi="Arial" w:cs="Arial"/>
          <w:color w:val="000000"/>
          <w:szCs w:val="24"/>
          <w:lang w:val="en-GB" w:eastAsia="en-GB"/>
        </w:rPr>
      </w:pPr>
    </w:p>
    <w:p w14:paraId="5DB95DB6" w14:textId="60527532" w:rsidR="00D86BBC" w:rsidRPr="00642DC1" w:rsidRDefault="00D86BBC" w:rsidP="00642DC1">
      <w:pPr>
        <w:numPr>
          <w:ilvl w:val="1"/>
          <w:numId w:val="32"/>
        </w:numPr>
        <w:autoSpaceDE w:val="0"/>
        <w:autoSpaceDN w:val="0"/>
        <w:adjustRightInd w:val="0"/>
        <w:ind w:left="709" w:hanging="709"/>
        <w:jc w:val="both"/>
        <w:rPr>
          <w:rFonts w:ascii="Arial" w:hAnsi="Arial" w:cs="Arial"/>
          <w:color w:val="000000"/>
          <w:szCs w:val="24"/>
          <w:lang w:val="en-GB" w:eastAsia="en-GB"/>
        </w:rPr>
      </w:pPr>
      <w:r w:rsidRPr="00642DC1">
        <w:rPr>
          <w:rFonts w:ascii="Arial" w:hAnsi="Arial" w:cs="Arial"/>
          <w:color w:val="000000"/>
          <w:szCs w:val="24"/>
          <w:lang w:val="en-GB" w:eastAsia="en-GB"/>
        </w:rPr>
        <w:t xml:space="preserve">Any investments the Fund makes through the London CIV will be covered by the voting policy of the CIV which has been agreed by the Pensions Sectoral Joint Committee. Voting is delegated to the external managers and monitored on a quarterly basis. The CIV will arrange for managers to vote in accordance with voting alerts issued by the Local Authority Pension Fund Forum as far as practically possible to do so and will hold managers to account where they have not voted in accordance with the </w:t>
      </w:r>
      <w:r w:rsidRPr="009444C5">
        <w:rPr>
          <w:rFonts w:ascii="Arial" w:hAnsi="Arial" w:cs="Arial"/>
          <w:color w:val="000000"/>
          <w:szCs w:val="24"/>
          <w:lang w:val="en-GB" w:eastAsia="en-GB"/>
        </w:rPr>
        <w:t>Local Authority Pension Fund Forum</w:t>
      </w:r>
      <w:r w:rsidRPr="00642DC1">
        <w:rPr>
          <w:rFonts w:ascii="Arial" w:hAnsi="Arial" w:cs="Arial"/>
          <w:color w:val="000000"/>
          <w:szCs w:val="24"/>
          <w:lang w:val="en-GB" w:eastAsia="en-GB"/>
        </w:rPr>
        <w:t xml:space="preserve"> directions</w:t>
      </w:r>
      <w:r>
        <w:rPr>
          <w:rFonts w:ascii="Arial" w:hAnsi="Arial" w:cs="Arial"/>
          <w:color w:val="000000"/>
          <w:szCs w:val="24"/>
          <w:lang w:val="en-GB" w:eastAsia="en-GB"/>
        </w:rPr>
        <w:t>.</w:t>
      </w:r>
    </w:p>
    <w:p w14:paraId="56001F30" w14:textId="77777777" w:rsidR="00D86BBC" w:rsidRPr="00642DC1" w:rsidRDefault="00D86BBC" w:rsidP="00642DC1">
      <w:pPr>
        <w:autoSpaceDE w:val="0"/>
        <w:autoSpaceDN w:val="0"/>
        <w:adjustRightInd w:val="0"/>
        <w:ind w:left="709"/>
        <w:jc w:val="both"/>
        <w:rPr>
          <w:rFonts w:cs="Arial"/>
          <w:color w:val="000000"/>
          <w:szCs w:val="24"/>
          <w:lang w:val="en-GB" w:eastAsia="en-GB"/>
        </w:rPr>
      </w:pPr>
    </w:p>
    <w:p w14:paraId="0C5864E2" w14:textId="77777777" w:rsidR="00186423" w:rsidRDefault="00186423" w:rsidP="001049FB">
      <w:pPr>
        <w:pStyle w:val="Heading2"/>
        <w:ind w:left="567" w:right="425" w:hanging="567"/>
        <w:jc w:val="both"/>
        <w:rPr>
          <w:rFonts w:ascii="Arial" w:hAnsi="Arial" w:cs="Arial"/>
          <w:sz w:val="28"/>
          <w:szCs w:val="28"/>
        </w:rPr>
      </w:pPr>
    </w:p>
    <w:p w14:paraId="3622F8D6" w14:textId="7491B55B" w:rsidR="001049FB" w:rsidRPr="002B233B" w:rsidRDefault="001049FB" w:rsidP="00F95D72">
      <w:pPr>
        <w:pStyle w:val="Heading2"/>
        <w:numPr>
          <w:ilvl w:val="0"/>
          <w:numId w:val="32"/>
        </w:numPr>
        <w:ind w:left="709" w:right="425" w:hanging="709"/>
        <w:jc w:val="both"/>
        <w:rPr>
          <w:rFonts w:ascii="Arial" w:hAnsi="Arial" w:cs="Arial"/>
          <w:sz w:val="28"/>
          <w:szCs w:val="28"/>
        </w:rPr>
      </w:pPr>
      <w:r>
        <w:rPr>
          <w:rFonts w:ascii="Arial" w:hAnsi="Arial" w:cs="Arial"/>
          <w:sz w:val="28"/>
          <w:szCs w:val="28"/>
        </w:rPr>
        <w:t>Stewardship</w:t>
      </w:r>
    </w:p>
    <w:p w14:paraId="76B0EF33" w14:textId="77777777" w:rsidR="00725A19" w:rsidRDefault="00725A19" w:rsidP="000F2B3B">
      <w:pPr>
        <w:pStyle w:val="Heading4"/>
        <w:ind w:left="709" w:hanging="709"/>
      </w:pPr>
    </w:p>
    <w:p w14:paraId="7CD55FF9" w14:textId="46F860D2" w:rsidR="001049FB" w:rsidRPr="001049FB" w:rsidRDefault="001049FB" w:rsidP="000F2B3B">
      <w:pPr>
        <w:pStyle w:val="Heading4"/>
        <w:ind w:left="709" w:hanging="709"/>
        <w:jc w:val="both"/>
        <w:rPr>
          <w:rFonts w:ascii="Arial" w:hAnsi="Arial" w:cs="Arial"/>
          <w:sz w:val="24"/>
          <w:szCs w:val="24"/>
        </w:rPr>
      </w:pPr>
      <w:r w:rsidRPr="001049FB">
        <w:rPr>
          <w:rFonts w:ascii="Arial" w:hAnsi="Arial" w:cs="Arial"/>
          <w:sz w:val="24"/>
          <w:szCs w:val="24"/>
        </w:rPr>
        <w:t>1</w:t>
      </w:r>
      <w:r w:rsidR="00EA1A3A">
        <w:rPr>
          <w:rFonts w:ascii="Arial" w:hAnsi="Arial" w:cs="Arial"/>
          <w:sz w:val="24"/>
          <w:szCs w:val="24"/>
        </w:rPr>
        <w:t>5</w:t>
      </w:r>
      <w:r w:rsidRPr="001049FB">
        <w:rPr>
          <w:rFonts w:ascii="Arial" w:hAnsi="Arial" w:cs="Arial"/>
          <w:sz w:val="24"/>
          <w:szCs w:val="24"/>
        </w:rPr>
        <w:t>.1</w:t>
      </w:r>
      <w:r w:rsidR="000F2B3B">
        <w:rPr>
          <w:rFonts w:ascii="Arial" w:hAnsi="Arial" w:cs="Arial"/>
          <w:sz w:val="24"/>
          <w:szCs w:val="24"/>
        </w:rPr>
        <w:tab/>
      </w:r>
      <w:r w:rsidRPr="001049FB">
        <w:rPr>
          <w:rFonts w:ascii="Arial" w:hAnsi="Arial" w:cs="Arial"/>
          <w:sz w:val="24"/>
          <w:szCs w:val="24"/>
        </w:rPr>
        <w:t>Whilst the Committee expects its investment managers to have signed up to The Institutional Shareholders Committee Code on the Responsibilities of Institutional Investors (“The UK Stewardship Code”) it has not yet done so itself. It wil</w:t>
      </w:r>
      <w:r>
        <w:rPr>
          <w:rFonts w:ascii="Arial" w:hAnsi="Arial" w:cs="Arial"/>
          <w:sz w:val="24"/>
          <w:szCs w:val="24"/>
        </w:rPr>
        <w:t>l</w:t>
      </w:r>
      <w:r w:rsidRPr="001049FB">
        <w:rPr>
          <w:rFonts w:ascii="Arial" w:hAnsi="Arial" w:cs="Arial"/>
          <w:sz w:val="24"/>
          <w:szCs w:val="24"/>
        </w:rPr>
        <w:t xml:space="preserve"> be considering whether to do so</w:t>
      </w:r>
      <w:r w:rsidR="00536ECD">
        <w:rPr>
          <w:rFonts w:ascii="Arial" w:hAnsi="Arial" w:cs="Arial"/>
          <w:sz w:val="24"/>
          <w:szCs w:val="24"/>
        </w:rPr>
        <w:t>.</w:t>
      </w:r>
      <w:r w:rsidRPr="001049FB">
        <w:rPr>
          <w:rFonts w:ascii="Arial" w:hAnsi="Arial" w:cs="Arial"/>
          <w:sz w:val="24"/>
          <w:szCs w:val="24"/>
        </w:rPr>
        <w:t xml:space="preserve"> </w:t>
      </w:r>
    </w:p>
    <w:p w14:paraId="20CFDBC1" w14:textId="77777777" w:rsidR="001049FB" w:rsidRPr="001049FB" w:rsidRDefault="001049FB" w:rsidP="000F2B3B">
      <w:pPr>
        <w:pStyle w:val="Heading4"/>
        <w:ind w:left="709" w:hanging="709"/>
        <w:jc w:val="both"/>
        <w:rPr>
          <w:rFonts w:ascii="Arial" w:hAnsi="Arial" w:cs="Arial"/>
          <w:sz w:val="24"/>
          <w:szCs w:val="24"/>
        </w:rPr>
      </w:pPr>
    </w:p>
    <w:p w14:paraId="612E3E2C" w14:textId="77777777" w:rsidR="001049FB" w:rsidRDefault="001049FB" w:rsidP="000F2B3B">
      <w:pPr>
        <w:pStyle w:val="Heading4"/>
        <w:ind w:left="709" w:hanging="709"/>
        <w:jc w:val="both"/>
        <w:rPr>
          <w:rFonts w:ascii="Arial" w:hAnsi="Arial" w:cs="Arial"/>
          <w:sz w:val="24"/>
          <w:szCs w:val="24"/>
        </w:rPr>
      </w:pPr>
      <w:r>
        <w:rPr>
          <w:rFonts w:ascii="Arial" w:hAnsi="Arial" w:cs="Arial"/>
          <w:sz w:val="24"/>
          <w:szCs w:val="24"/>
        </w:rPr>
        <w:t>1</w:t>
      </w:r>
      <w:r w:rsidR="00EA1A3A">
        <w:rPr>
          <w:rFonts w:ascii="Arial" w:hAnsi="Arial" w:cs="Arial"/>
          <w:sz w:val="24"/>
          <w:szCs w:val="24"/>
        </w:rPr>
        <w:t>5</w:t>
      </w:r>
      <w:r>
        <w:rPr>
          <w:rFonts w:ascii="Arial" w:hAnsi="Arial" w:cs="Arial"/>
          <w:sz w:val="24"/>
          <w:szCs w:val="24"/>
        </w:rPr>
        <w:t>.2</w:t>
      </w:r>
      <w:r w:rsidR="000F2B3B">
        <w:rPr>
          <w:rFonts w:ascii="Arial" w:hAnsi="Arial" w:cs="Arial"/>
          <w:sz w:val="24"/>
          <w:szCs w:val="24"/>
        </w:rPr>
        <w:tab/>
      </w:r>
      <w:r>
        <w:rPr>
          <w:rFonts w:ascii="Arial" w:hAnsi="Arial" w:cs="Arial"/>
          <w:sz w:val="24"/>
          <w:szCs w:val="24"/>
        </w:rPr>
        <w:t xml:space="preserve">The Committee also expects the London CIV and all managers which it </w:t>
      </w:r>
      <w:r w:rsidR="00A24365">
        <w:rPr>
          <w:rFonts w:ascii="Arial" w:hAnsi="Arial" w:cs="Arial"/>
          <w:sz w:val="24"/>
          <w:szCs w:val="24"/>
        </w:rPr>
        <w:t>appoints to</w:t>
      </w:r>
      <w:r>
        <w:rPr>
          <w:rFonts w:ascii="Arial" w:hAnsi="Arial" w:cs="Arial"/>
          <w:sz w:val="24"/>
          <w:szCs w:val="24"/>
        </w:rPr>
        <w:t xml:space="preserve"> sign up to the Code.</w:t>
      </w:r>
    </w:p>
    <w:p w14:paraId="46140DA1" w14:textId="77777777" w:rsidR="001049FB" w:rsidRPr="001049FB" w:rsidRDefault="001049FB" w:rsidP="000F2B3B">
      <w:pPr>
        <w:ind w:left="709" w:hanging="709"/>
      </w:pPr>
    </w:p>
    <w:p w14:paraId="0A5BA5B2" w14:textId="278390C2" w:rsidR="00C258DC" w:rsidRDefault="001049FB" w:rsidP="000F2B3B">
      <w:pPr>
        <w:pStyle w:val="BodyTextGrey"/>
        <w:ind w:left="709" w:hanging="709"/>
        <w:jc w:val="both"/>
        <w:rPr>
          <w:iCs w:val="0"/>
          <w:color w:val="auto"/>
          <w:sz w:val="24"/>
          <w:szCs w:val="24"/>
          <w:lang w:val="en-US"/>
        </w:rPr>
      </w:pPr>
      <w:r w:rsidRPr="00874D8E">
        <w:rPr>
          <w:iCs w:val="0"/>
          <w:color w:val="auto"/>
          <w:sz w:val="24"/>
          <w:szCs w:val="24"/>
          <w:lang w:val="en-US"/>
        </w:rPr>
        <w:t>1</w:t>
      </w:r>
      <w:r w:rsidR="00EA1A3A">
        <w:rPr>
          <w:iCs w:val="0"/>
          <w:color w:val="auto"/>
          <w:sz w:val="24"/>
          <w:szCs w:val="24"/>
          <w:lang w:val="en-US"/>
        </w:rPr>
        <w:t>5</w:t>
      </w:r>
      <w:r w:rsidRPr="00874D8E">
        <w:rPr>
          <w:iCs w:val="0"/>
          <w:color w:val="auto"/>
          <w:sz w:val="24"/>
          <w:szCs w:val="24"/>
          <w:lang w:val="en-US"/>
        </w:rPr>
        <w:t>.3</w:t>
      </w:r>
      <w:r w:rsidR="000F2B3B">
        <w:rPr>
          <w:iCs w:val="0"/>
          <w:color w:val="auto"/>
          <w:sz w:val="24"/>
          <w:szCs w:val="24"/>
          <w:lang w:val="en-US"/>
        </w:rPr>
        <w:tab/>
      </w:r>
      <w:r w:rsidRPr="00874D8E">
        <w:rPr>
          <w:iCs w:val="0"/>
          <w:color w:val="auto"/>
          <w:sz w:val="24"/>
          <w:szCs w:val="24"/>
          <w:lang w:val="en-US"/>
        </w:rPr>
        <w:t xml:space="preserve">The Fund </w:t>
      </w:r>
      <w:r w:rsidR="00A24365" w:rsidRPr="00874D8E">
        <w:rPr>
          <w:iCs w:val="0"/>
          <w:color w:val="auto"/>
          <w:sz w:val="24"/>
          <w:szCs w:val="24"/>
          <w:lang w:val="en-US"/>
        </w:rPr>
        <w:t>also believes</w:t>
      </w:r>
      <w:r w:rsidR="00772F00" w:rsidRPr="00874D8E">
        <w:rPr>
          <w:iCs w:val="0"/>
          <w:color w:val="auto"/>
          <w:sz w:val="24"/>
          <w:szCs w:val="24"/>
          <w:lang w:val="en-US"/>
        </w:rPr>
        <w:t xml:space="preserve"> in collective engagement and is a member of the </w:t>
      </w:r>
      <w:r w:rsidR="00D86BBC" w:rsidRPr="009444C5">
        <w:rPr>
          <w:color w:val="000000"/>
          <w:sz w:val="24"/>
          <w:szCs w:val="24"/>
          <w:lang w:eastAsia="en-GB"/>
        </w:rPr>
        <w:t>Local Authority Pension Fund Forum</w:t>
      </w:r>
      <w:r w:rsidR="00772F00" w:rsidRPr="00874D8E">
        <w:rPr>
          <w:iCs w:val="0"/>
          <w:color w:val="auto"/>
          <w:sz w:val="24"/>
          <w:szCs w:val="24"/>
          <w:lang w:val="en-US"/>
        </w:rPr>
        <w:t xml:space="preserve"> which exercises a voice</w:t>
      </w:r>
      <w:r w:rsidR="00874D8E" w:rsidRPr="00874D8E">
        <w:rPr>
          <w:iCs w:val="0"/>
          <w:color w:val="auto"/>
          <w:sz w:val="24"/>
          <w:szCs w:val="24"/>
          <w:lang w:val="en-US"/>
        </w:rPr>
        <w:t xml:space="preserve"> on behalf of over </w:t>
      </w:r>
      <w:r w:rsidR="00C258DC">
        <w:rPr>
          <w:iCs w:val="0"/>
          <w:color w:val="auto"/>
          <w:sz w:val="24"/>
          <w:szCs w:val="24"/>
          <w:lang w:val="en-US"/>
        </w:rPr>
        <w:t>7</w:t>
      </w:r>
      <w:r w:rsidR="00874D8E" w:rsidRPr="00874D8E">
        <w:rPr>
          <w:iCs w:val="0"/>
          <w:color w:val="auto"/>
          <w:sz w:val="24"/>
          <w:szCs w:val="24"/>
          <w:lang w:val="en-US"/>
        </w:rPr>
        <w:t xml:space="preserve">0 local authority pension </w:t>
      </w:r>
      <w:r w:rsidR="00A24365" w:rsidRPr="00874D8E">
        <w:rPr>
          <w:iCs w:val="0"/>
          <w:color w:val="auto"/>
          <w:sz w:val="24"/>
          <w:szCs w:val="24"/>
          <w:lang w:val="en-US"/>
        </w:rPr>
        <w:t>funds across</w:t>
      </w:r>
      <w:r w:rsidR="00772F00" w:rsidRPr="00874D8E">
        <w:rPr>
          <w:iCs w:val="0"/>
          <w:color w:val="auto"/>
          <w:sz w:val="24"/>
          <w:szCs w:val="24"/>
          <w:lang w:val="en-US"/>
        </w:rPr>
        <w:t xml:space="preserve"> a range of corporate governance issues. </w:t>
      </w:r>
    </w:p>
    <w:p w14:paraId="78F046B9" w14:textId="77777777" w:rsidR="00703EAD" w:rsidRDefault="00C258DC" w:rsidP="000F2B3B">
      <w:pPr>
        <w:pStyle w:val="BodyTextGrey"/>
        <w:ind w:left="709" w:hanging="709"/>
        <w:jc w:val="both"/>
        <w:rPr>
          <w:iCs w:val="0"/>
          <w:color w:val="auto"/>
          <w:sz w:val="24"/>
          <w:szCs w:val="24"/>
          <w:lang w:val="en-US"/>
        </w:rPr>
      </w:pPr>
      <w:r>
        <w:rPr>
          <w:iCs w:val="0"/>
          <w:color w:val="auto"/>
          <w:sz w:val="24"/>
          <w:szCs w:val="24"/>
          <w:lang w:val="en-US"/>
        </w:rPr>
        <w:t>15.4</w:t>
      </w:r>
      <w:r w:rsidR="00784D3A">
        <w:rPr>
          <w:iCs w:val="0"/>
          <w:color w:val="auto"/>
          <w:sz w:val="24"/>
          <w:szCs w:val="24"/>
          <w:lang w:val="en-US"/>
        </w:rPr>
        <w:tab/>
      </w:r>
      <w:r>
        <w:rPr>
          <w:iCs w:val="0"/>
          <w:color w:val="auto"/>
          <w:sz w:val="24"/>
          <w:szCs w:val="24"/>
          <w:lang w:val="en-US"/>
        </w:rPr>
        <w:t>Additionally the Fund is a member of the Pensions</w:t>
      </w:r>
      <w:r w:rsidR="006C21E3">
        <w:rPr>
          <w:iCs w:val="0"/>
          <w:color w:val="auto"/>
          <w:sz w:val="24"/>
          <w:szCs w:val="24"/>
          <w:lang w:val="en-US"/>
        </w:rPr>
        <w:t xml:space="preserve"> and Lifetime Savings Association through which it joins with other investors to maximize the influence of investors as asset owners.</w:t>
      </w:r>
      <w:r w:rsidR="00772F00" w:rsidRPr="00874D8E">
        <w:rPr>
          <w:iCs w:val="0"/>
          <w:color w:val="auto"/>
          <w:sz w:val="24"/>
          <w:szCs w:val="24"/>
          <w:lang w:val="en-US"/>
        </w:rPr>
        <w:t xml:space="preserve"> </w:t>
      </w:r>
    </w:p>
    <w:bookmarkEnd w:id="1"/>
    <w:p w14:paraId="42F4737C" w14:textId="77777777" w:rsidR="00C37B0F" w:rsidRPr="004A7B76" w:rsidRDefault="00C37B0F" w:rsidP="00642DC1">
      <w:pPr>
        <w:pStyle w:val="Heading2"/>
        <w:keepNext w:val="0"/>
        <w:ind w:right="-2"/>
        <w:jc w:val="both"/>
        <w:rPr>
          <w:rFonts w:ascii="Arial" w:hAnsi="Arial" w:cs="Arial"/>
          <w:color w:val="000000"/>
          <w:szCs w:val="18"/>
        </w:rPr>
      </w:pPr>
    </w:p>
    <w:sectPr w:rsidR="00C37B0F" w:rsidRPr="004A7B76" w:rsidSect="00187ED6">
      <w:pgSz w:w="12240" w:h="15840"/>
      <w:pgMar w:top="1440" w:right="1325"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D243" w14:textId="77777777" w:rsidR="007A4DAD" w:rsidRDefault="007A4DAD">
      <w:r>
        <w:separator/>
      </w:r>
    </w:p>
  </w:endnote>
  <w:endnote w:type="continuationSeparator" w:id="0">
    <w:p w14:paraId="0E1A3459" w14:textId="77777777" w:rsidR="007A4DAD" w:rsidRDefault="007A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B167" w14:textId="77777777" w:rsidR="00C577C6" w:rsidRDefault="00C577C6">
    <w:r>
      <w:rPr>
        <w:rStyle w:val="PageNumber"/>
      </w:rPr>
      <w:t xml:space="preserve">PAGE  </w:t>
    </w:r>
    <w:r>
      <w:rPr>
        <w:rStyle w:val="PageNumber"/>
        <w:noProof/>
      </w:rPr>
      <w:t>1</w:t>
    </w:r>
    <w:r>
      <w:rPr>
        <w:rStyle w:val="PageNumber"/>
      </w:rPr>
      <w:cr/>
    </w:r>
    <w:r w:rsidRPr="0075382E">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F0E6" w14:textId="77777777" w:rsidR="007A4DAD" w:rsidRDefault="007A4DAD">
      <w:r>
        <w:separator/>
      </w:r>
    </w:p>
  </w:footnote>
  <w:footnote w:type="continuationSeparator" w:id="0">
    <w:p w14:paraId="4A05F6AA" w14:textId="77777777" w:rsidR="007A4DAD" w:rsidRDefault="007A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829"/>
    <w:multiLevelType w:val="hybridMultilevel"/>
    <w:tmpl w:val="027EEB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411F7"/>
    <w:multiLevelType w:val="hybridMultilevel"/>
    <w:tmpl w:val="C47A3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049F2"/>
    <w:multiLevelType w:val="hybridMultilevel"/>
    <w:tmpl w:val="C4FEC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680CF0"/>
    <w:multiLevelType w:val="hybridMultilevel"/>
    <w:tmpl w:val="F67A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A4554"/>
    <w:multiLevelType w:val="multilevel"/>
    <w:tmpl w:val="C73853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F62739"/>
    <w:multiLevelType w:val="multilevel"/>
    <w:tmpl w:val="5400DAA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3A78D4"/>
    <w:multiLevelType w:val="multilevel"/>
    <w:tmpl w:val="A642D374"/>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5167B"/>
    <w:multiLevelType w:val="hybridMultilevel"/>
    <w:tmpl w:val="325684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F119A"/>
    <w:multiLevelType w:val="hybridMultilevel"/>
    <w:tmpl w:val="E7A0ACB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9001674"/>
    <w:multiLevelType w:val="hybridMultilevel"/>
    <w:tmpl w:val="EFD6A816"/>
    <w:lvl w:ilvl="0" w:tplc="04090001">
      <w:start w:val="1"/>
      <w:numFmt w:val="bullet"/>
      <w:lvlText w:val=""/>
      <w:lvlJc w:val="left"/>
      <w:pPr>
        <w:tabs>
          <w:tab w:val="num" w:pos="720"/>
        </w:tabs>
        <w:ind w:left="720" w:hanging="360"/>
      </w:pPr>
      <w:rPr>
        <w:rFonts w:ascii="Symbol" w:hAnsi="Symbol" w:hint="default"/>
      </w:rPr>
    </w:lvl>
    <w:lvl w:ilvl="1" w:tplc="C9821856">
      <w:start w:val="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1C7041"/>
    <w:multiLevelType w:val="hybridMultilevel"/>
    <w:tmpl w:val="4C56E982"/>
    <w:lvl w:ilvl="0" w:tplc="754A328A">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0789A"/>
    <w:multiLevelType w:val="hybridMultilevel"/>
    <w:tmpl w:val="BBB83006"/>
    <w:lvl w:ilvl="0" w:tplc="0756AA16">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E941201"/>
    <w:multiLevelType w:val="hybridMultilevel"/>
    <w:tmpl w:val="557CC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67EAA"/>
    <w:multiLevelType w:val="hybridMultilevel"/>
    <w:tmpl w:val="B178EC02"/>
    <w:lvl w:ilvl="0" w:tplc="2158B96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62763"/>
    <w:multiLevelType w:val="hybridMultilevel"/>
    <w:tmpl w:val="BEE8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47D23"/>
    <w:multiLevelType w:val="multilevel"/>
    <w:tmpl w:val="BB60C2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val="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B57947"/>
    <w:multiLevelType w:val="multilevel"/>
    <w:tmpl w:val="9AF29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1F41E6"/>
    <w:multiLevelType w:val="multilevel"/>
    <w:tmpl w:val="4D8A0410"/>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C978B1"/>
    <w:multiLevelType w:val="hybridMultilevel"/>
    <w:tmpl w:val="F872E0E4"/>
    <w:lvl w:ilvl="0" w:tplc="EFA2E28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CB639D"/>
    <w:multiLevelType w:val="hybridMultilevel"/>
    <w:tmpl w:val="64AEF7DC"/>
    <w:lvl w:ilvl="0" w:tplc="47480EF6">
      <w:start w:val="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925901"/>
    <w:multiLevelType w:val="multilevel"/>
    <w:tmpl w:val="7FEA972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C466F2"/>
    <w:multiLevelType w:val="hybridMultilevel"/>
    <w:tmpl w:val="1722D77A"/>
    <w:lvl w:ilvl="0" w:tplc="54B8930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F80F69"/>
    <w:multiLevelType w:val="hybridMultilevel"/>
    <w:tmpl w:val="3A4A8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B0DF2"/>
    <w:multiLevelType w:val="hybridMultilevel"/>
    <w:tmpl w:val="BBB83006"/>
    <w:lvl w:ilvl="0" w:tplc="0756AA1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D82477F"/>
    <w:multiLevelType w:val="hybridMultilevel"/>
    <w:tmpl w:val="D0EC6F36"/>
    <w:lvl w:ilvl="0" w:tplc="C148819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630F39"/>
    <w:multiLevelType w:val="hybridMultilevel"/>
    <w:tmpl w:val="EF262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D45D2"/>
    <w:multiLevelType w:val="hybridMultilevel"/>
    <w:tmpl w:val="B2560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5F4A91"/>
    <w:multiLevelType w:val="hybridMultilevel"/>
    <w:tmpl w:val="8EC81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742C5"/>
    <w:multiLevelType w:val="hybridMultilevel"/>
    <w:tmpl w:val="25E66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A933EB"/>
    <w:multiLevelType w:val="hybridMultilevel"/>
    <w:tmpl w:val="E576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D56A1"/>
    <w:multiLevelType w:val="hybridMultilevel"/>
    <w:tmpl w:val="5AC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D4B75"/>
    <w:multiLevelType w:val="hybridMultilevel"/>
    <w:tmpl w:val="17E61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64515"/>
    <w:multiLevelType w:val="hybridMultilevel"/>
    <w:tmpl w:val="ED4E7A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B2B87"/>
    <w:multiLevelType w:val="hybridMultilevel"/>
    <w:tmpl w:val="0FB4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7955E0"/>
    <w:multiLevelType w:val="hybridMultilevel"/>
    <w:tmpl w:val="75607FCC"/>
    <w:lvl w:ilvl="0" w:tplc="08090001">
      <w:start w:val="1"/>
      <w:numFmt w:val="bullet"/>
      <w:lvlText w:val=""/>
      <w:lvlJc w:val="left"/>
      <w:pPr>
        <w:ind w:left="1792" w:hanging="360"/>
      </w:pPr>
      <w:rPr>
        <w:rFonts w:ascii="Symbol" w:hAnsi="Symbol" w:hint="default"/>
      </w:rPr>
    </w:lvl>
    <w:lvl w:ilvl="1" w:tplc="08090003" w:tentative="1">
      <w:start w:val="1"/>
      <w:numFmt w:val="bullet"/>
      <w:lvlText w:val="o"/>
      <w:lvlJc w:val="left"/>
      <w:pPr>
        <w:ind w:left="2512" w:hanging="360"/>
      </w:pPr>
      <w:rPr>
        <w:rFonts w:ascii="Courier New" w:hAnsi="Courier New" w:cs="Courier New" w:hint="default"/>
      </w:rPr>
    </w:lvl>
    <w:lvl w:ilvl="2" w:tplc="08090005" w:tentative="1">
      <w:start w:val="1"/>
      <w:numFmt w:val="bullet"/>
      <w:lvlText w:val=""/>
      <w:lvlJc w:val="left"/>
      <w:pPr>
        <w:ind w:left="3232" w:hanging="360"/>
      </w:pPr>
      <w:rPr>
        <w:rFonts w:ascii="Wingdings" w:hAnsi="Wingdings" w:hint="default"/>
      </w:rPr>
    </w:lvl>
    <w:lvl w:ilvl="3" w:tplc="08090001" w:tentative="1">
      <w:start w:val="1"/>
      <w:numFmt w:val="bullet"/>
      <w:lvlText w:val=""/>
      <w:lvlJc w:val="left"/>
      <w:pPr>
        <w:ind w:left="3952" w:hanging="360"/>
      </w:pPr>
      <w:rPr>
        <w:rFonts w:ascii="Symbol" w:hAnsi="Symbol" w:hint="default"/>
      </w:rPr>
    </w:lvl>
    <w:lvl w:ilvl="4" w:tplc="08090003" w:tentative="1">
      <w:start w:val="1"/>
      <w:numFmt w:val="bullet"/>
      <w:lvlText w:val="o"/>
      <w:lvlJc w:val="left"/>
      <w:pPr>
        <w:ind w:left="4672" w:hanging="360"/>
      </w:pPr>
      <w:rPr>
        <w:rFonts w:ascii="Courier New" w:hAnsi="Courier New" w:cs="Courier New" w:hint="default"/>
      </w:rPr>
    </w:lvl>
    <w:lvl w:ilvl="5" w:tplc="08090005" w:tentative="1">
      <w:start w:val="1"/>
      <w:numFmt w:val="bullet"/>
      <w:lvlText w:val=""/>
      <w:lvlJc w:val="left"/>
      <w:pPr>
        <w:ind w:left="5392" w:hanging="360"/>
      </w:pPr>
      <w:rPr>
        <w:rFonts w:ascii="Wingdings" w:hAnsi="Wingdings" w:hint="default"/>
      </w:rPr>
    </w:lvl>
    <w:lvl w:ilvl="6" w:tplc="08090001" w:tentative="1">
      <w:start w:val="1"/>
      <w:numFmt w:val="bullet"/>
      <w:lvlText w:val=""/>
      <w:lvlJc w:val="left"/>
      <w:pPr>
        <w:ind w:left="6112" w:hanging="360"/>
      </w:pPr>
      <w:rPr>
        <w:rFonts w:ascii="Symbol" w:hAnsi="Symbol" w:hint="default"/>
      </w:rPr>
    </w:lvl>
    <w:lvl w:ilvl="7" w:tplc="08090003" w:tentative="1">
      <w:start w:val="1"/>
      <w:numFmt w:val="bullet"/>
      <w:lvlText w:val="o"/>
      <w:lvlJc w:val="left"/>
      <w:pPr>
        <w:ind w:left="6832" w:hanging="360"/>
      </w:pPr>
      <w:rPr>
        <w:rFonts w:ascii="Courier New" w:hAnsi="Courier New" w:cs="Courier New" w:hint="default"/>
      </w:rPr>
    </w:lvl>
    <w:lvl w:ilvl="8" w:tplc="08090005" w:tentative="1">
      <w:start w:val="1"/>
      <w:numFmt w:val="bullet"/>
      <w:lvlText w:val=""/>
      <w:lvlJc w:val="left"/>
      <w:pPr>
        <w:ind w:left="7552" w:hanging="360"/>
      </w:pPr>
      <w:rPr>
        <w:rFonts w:ascii="Wingdings" w:hAnsi="Wingdings" w:hint="default"/>
      </w:rPr>
    </w:lvl>
  </w:abstractNum>
  <w:abstractNum w:abstractNumId="35" w15:restartNumberingAfterBreak="0">
    <w:nsid w:val="79D370EA"/>
    <w:multiLevelType w:val="multilevel"/>
    <w:tmpl w:val="D0E21198"/>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4"/>
      </w:rPr>
    </w:lvl>
    <w:lvl w:ilvl="2">
      <w:start w:val="1"/>
      <w:numFmt w:val="decimal"/>
      <w:lvlText w:val="%1.%2.%3."/>
      <w:lvlJc w:val="left"/>
      <w:pPr>
        <w:ind w:left="1224" w:hanging="504"/>
      </w:pPr>
      <w:rPr>
        <w:b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7A6710"/>
    <w:multiLevelType w:val="hybridMultilevel"/>
    <w:tmpl w:val="3B267B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0545320">
    <w:abstractNumId w:val="22"/>
  </w:num>
  <w:num w:numId="2" w16cid:durableId="1632251157">
    <w:abstractNumId w:val="8"/>
  </w:num>
  <w:num w:numId="3" w16cid:durableId="2101947874">
    <w:abstractNumId w:val="14"/>
  </w:num>
  <w:num w:numId="4" w16cid:durableId="1282151317">
    <w:abstractNumId w:val="26"/>
  </w:num>
  <w:num w:numId="5" w16cid:durableId="72942447">
    <w:abstractNumId w:val="31"/>
  </w:num>
  <w:num w:numId="6" w16cid:durableId="592739913">
    <w:abstractNumId w:val="25"/>
  </w:num>
  <w:num w:numId="7" w16cid:durableId="1332489699">
    <w:abstractNumId w:val="28"/>
  </w:num>
  <w:num w:numId="8" w16cid:durableId="279150509">
    <w:abstractNumId w:val="9"/>
  </w:num>
  <w:num w:numId="9" w16cid:durableId="495341566">
    <w:abstractNumId w:val="12"/>
  </w:num>
  <w:num w:numId="10" w16cid:durableId="686641488">
    <w:abstractNumId w:val="13"/>
  </w:num>
  <w:num w:numId="11" w16cid:durableId="1741947433">
    <w:abstractNumId w:val="3"/>
  </w:num>
  <w:num w:numId="12" w16cid:durableId="1281909763">
    <w:abstractNumId w:val="16"/>
  </w:num>
  <w:num w:numId="13" w16cid:durableId="2019771436">
    <w:abstractNumId w:val="6"/>
  </w:num>
  <w:num w:numId="14" w16cid:durableId="1374498339">
    <w:abstractNumId w:val="17"/>
  </w:num>
  <w:num w:numId="15" w16cid:durableId="1163277145">
    <w:abstractNumId w:val="5"/>
  </w:num>
  <w:num w:numId="16" w16cid:durableId="1478767376">
    <w:abstractNumId w:val="27"/>
  </w:num>
  <w:num w:numId="17" w16cid:durableId="1516992114">
    <w:abstractNumId w:val="33"/>
  </w:num>
  <w:num w:numId="18" w16cid:durableId="420759918">
    <w:abstractNumId w:val="29"/>
  </w:num>
  <w:num w:numId="19" w16cid:durableId="1761826845">
    <w:abstractNumId w:val="34"/>
  </w:num>
  <w:num w:numId="20" w16cid:durableId="1556745765">
    <w:abstractNumId w:val="18"/>
  </w:num>
  <w:num w:numId="21" w16cid:durableId="827281623">
    <w:abstractNumId w:val="30"/>
  </w:num>
  <w:num w:numId="22" w16cid:durableId="1486120722">
    <w:abstractNumId w:val="21"/>
  </w:num>
  <w:num w:numId="23" w16cid:durableId="227158331">
    <w:abstractNumId w:val="0"/>
  </w:num>
  <w:num w:numId="24" w16cid:durableId="828056253">
    <w:abstractNumId w:val="32"/>
  </w:num>
  <w:num w:numId="25" w16cid:durableId="1505167721">
    <w:abstractNumId w:val="24"/>
  </w:num>
  <w:num w:numId="26" w16cid:durableId="619528306">
    <w:abstractNumId w:val="7"/>
  </w:num>
  <w:num w:numId="27" w16cid:durableId="1751151527">
    <w:abstractNumId w:val="4"/>
  </w:num>
  <w:num w:numId="28" w16cid:durableId="1343245618">
    <w:abstractNumId w:val="35"/>
  </w:num>
  <w:num w:numId="29" w16cid:durableId="1052457997">
    <w:abstractNumId w:val="11"/>
  </w:num>
  <w:num w:numId="30" w16cid:durableId="1975283028">
    <w:abstractNumId w:val="23"/>
  </w:num>
  <w:num w:numId="31" w16cid:durableId="616333260">
    <w:abstractNumId w:val="20"/>
  </w:num>
  <w:num w:numId="32" w16cid:durableId="1577517212">
    <w:abstractNumId w:val="15"/>
  </w:num>
  <w:num w:numId="33" w16cid:durableId="74596031">
    <w:abstractNumId w:val="36"/>
  </w:num>
  <w:num w:numId="34" w16cid:durableId="1223061046">
    <w:abstractNumId w:val="10"/>
  </w:num>
  <w:num w:numId="35" w16cid:durableId="197357070">
    <w:abstractNumId w:val="19"/>
  </w:num>
  <w:num w:numId="36" w16cid:durableId="1698576536">
    <w:abstractNumId w:val="1"/>
  </w:num>
  <w:num w:numId="37" w16cid:durableId="1990016609">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01"/>
    <w:rsid w:val="000027F1"/>
    <w:rsid w:val="00024019"/>
    <w:rsid w:val="00024A5C"/>
    <w:rsid w:val="00025038"/>
    <w:rsid w:val="00030591"/>
    <w:rsid w:val="000315C3"/>
    <w:rsid w:val="00031E25"/>
    <w:rsid w:val="00036A68"/>
    <w:rsid w:val="00042085"/>
    <w:rsid w:val="00044310"/>
    <w:rsid w:val="0005582C"/>
    <w:rsid w:val="0005711C"/>
    <w:rsid w:val="00057C8C"/>
    <w:rsid w:val="00060087"/>
    <w:rsid w:val="00061786"/>
    <w:rsid w:val="000629C0"/>
    <w:rsid w:val="00064D4D"/>
    <w:rsid w:val="00070C07"/>
    <w:rsid w:val="000726B4"/>
    <w:rsid w:val="00075D3E"/>
    <w:rsid w:val="000760CB"/>
    <w:rsid w:val="00082D9B"/>
    <w:rsid w:val="0008348C"/>
    <w:rsid w:val="00092ADB"/>
    <w:rsid w:val="00094110"/>
    <w:rsid w:val="000957B8"/>
    <w:rsid w:val="00096950"/>
    <w:rsid w:val="000A0204"/>
    <w:rsid w:val="000B10B7"/>
    <w:rsid w:val="000B2246"/>
    <w:rsid w:val="000C1BE7"/>
    <w:rsid w:val="000C3B09"/>
    <w:rsid w:val="000C6A71"/>
    <w:rsid w:val="000C6CEF"/>
    <w:rsid w:val="000D3E68"/>
    <w:rsid w:val="000E00C6"/>
    <w:rsid w:val="000E4516"/>
    <w:rsid w:val="000F2B3B"/>
    <w:rsid w:val="000F2FFD"/>
    <w:rsid w:val="000F4852"/>
    <w:rsid w:val="000F533F"/>
    <w:rsid w:val="000F5DCF"/>
    <w:rsid w:val="000F7690"/>
    <w:rsid w:val="001049FB"/>
    <w:rsid w:val="00106387"/>
    <w:rsid w:val="001111EB"/>
    <w:rsid w:val="00111980"/>
    <w:rsid w:val="00111AAA"/>
    <w:rsid w:val="0011444C"/>
    <w:rsid w:val="00115B7B"/>
    <w:rsid w:val="0011777B"/>
    <w:rsid w:val="00133C5F"/>
    <w:rsid w:val="00137751"/>
    <w:rsid w:val="001412F4"/>
    <w:rsid w:val="00142A23"/>
    <w:rsid w:val="00142DD4"/>
    <w:rsid w:val="0014693B"/>
    <w:rsid w:val="001474CF"/>
    <w:rsid w:val="00150555"/>
    <w:rsid w:val="001541CF"/>
    <w:rsid w:val="00154AAD"/>
    <w:rsid w:val="00154FE4"/>
    <w:rsid w:val="001610E4"/>
    <w:rsid w:val="0016598B"/>
    <w:rsid w:val="00173CF2"/>
    <w:rsid w:val="00177880"/>
    <w:rsid w:val="00183F24"/>
    <w:rsid w:val="00186423"/>
    <w:rsid w:val="00187ED6"/>
    <w:rsid w:val="00191A99"/>
    <w:rsid w:val="00191C53"/>
    <w:rsid w:val="00197EBE"/>
    <w:rsid w:val="001A1A52"/>
    <w:rsid w:val="001A401C"/>
    <w:rsid w:val="001A7D48"/>
    <w:rsid w:val="001B79B3"/>
    <w:rsid w:val="001C443B"/>
    <w:rsid w:val="001C5277"/>
    <w:rsid w:val="001D26D8"/>
    <w:rsid w:val="001D4C50"/>
    <w:rsid w:val="001E470F"/>
    <w:rsid w:val="001E79F2"/>
    <w:rsid w:val="001F1FF8"/>
    <w:rsid w:val="001F4FE1"/>
    <w:rsid w:val="001F5054"/>
    <w:rsid w:val="002026C0"/>
    <w:rsid w:val="002058CB"/>
    <w:rsid w:val="00207D46"/>
    <w:rsid w:val="002114A4"/>
    <w:rsid w:val="002420E6"/>
    <w:rsid w:val="0024640F"/>
    <w:rsid w:val="002502DF"/>
    <w:rsid w:val="00253884"/>
    <w:rsid w:val="0025562D"/>
    <w:rsid w:val="002568BB"/>
    <w:rsid w:val="00271D80"/>
    <w:rsid w:val="00272490"/>
    <w:rsid w:val="00274838"/>
    <w:rsid w:val="002760FF"/>
    <w:rsid w:val="0028394A"/>
    <w:rsid w:val="00286768"/>
    <w:rsid w:val="00286E50"/>
    <w:rsid w:val="0029172F"/>
    <w:rsid w:val="00292F4F"/>
    <w:rsid w:val="002934B9"/>
    <w:rsid w:val="00293A78"/>
    <w:rsid w:val="00297F2C"/>
    <w:rsid w:val="002A3F19"/>
    <w:rsid w:val="002A5340"/>
    <w:rsid w:val="002B1691"/>
    <w:rsid w:val="002B233B"/>
    <w:rsid w:val="002C3585"/>
    <w:rsid w:val="002D125C"/>
    <w:rsid w:val="002D1994"/>
    <w:rsid w:val="002D2D7A"/>
    <w:rsid w:val="002D7FBE"/>
    <w:rsid w:val="002E4FCE"/>
    <w:rsid w:val="002E679E"/>
    <w:rsid w:val="002E6AAD"/>
    <w:rsid w:val="002F2966"/>
    <w:rsid w:val="00301802"/>
    <w:rsid w:val="003046FD"/>
    <w:rsid w:val="00304ED8"/>
    <w:rsid w:val="0030616C"/>
    <w:rsid w:val="00311D25"/>
    <w:rsid w:val="00314280"/>
    <w:rsid w:val="00314BDB"/>
    <w:rsid w:val="003178F7"/>
    <w:rsid w:val="003209F1"/>
    <w:rsid w:val="003217E5"/>
    <w:rsid w:val="00323F60"/>
    <w:rsid w:val="003250C2"/>
    <w:rsid w:val="0032630F"/>
    <w:rsid w:val="00327358"/>
    <w:rsid w:val="00341F28"/>
    <w:rsid w:val="0034216E"/>
    <w:rsid w:val="00345056"/>
    <w:rsid w:val="003469FE"/>
    <w:rsid w:val="00346F51"/>
    <w:rsid w:val="003476B5"/>
    <w:rsid w:val="00352AFC"/>
    <w:rsid w:val="00360582"/>
    <w:rsid w:val="00361182"/>
    <w:rsid w:val="0036788E"/>
    <w:rsid w:val="003747E4"/>
    <w:rsid w:val="003803D8"/>
    <w:rsid w:val="00380874"/>
    <w:rsid w:val="00382E22"/>
    <w:rsid w:val="00384145"/>
    <w:rsid w:val="00387D43"/>
    <w:rsid w:val="00392DBC"/>
    <w:rsid w:val="00393B0A"/>
    <w:rsid w:val="003A088C"/>
    <w:rsid w:val="003A1523"/>
    <w:rsid w:val="003A2626"/>
    <w:rsid w:val="003A6086"/>
    <w:rsid w:val="003A7A95"/>
    <w:rsid w:val="003B06C7"/>
    <w:rsid w:val="003B135B"/>
    <w:rsid w:val="003B3EBB"/>
    <w:rsid w:val="003B63D0"/>
    <w:rsid w:val="003B67D0"/>
    <w:rsid w:val="003C3C9A"/>
    <w:rsid w:val="003D09ED"/>
    <w:rsid w:val="003D15D4"/>
    <w:rsid w:val="003D213D"/>
    <w:rsid w:val="003D37C0"/>
    <w:rsid w:val="003D57F8"/>
    <w:rsid w:val="003D5AA4"/>
    <w:rsid w:val="003D6BA8"/>
    <w:rsid w:val="003D7756"/>
    <w:rsid w:val="003D7897"/>
    <w:rsid w:val="003E203C"/>
    <w:rsid w:val="003F29D0"/>
    <w:rsid w:val="003F53AD"/>
    <w:rsid w:val="003F5F1E"/>
    <w:rsid w:val="003F6F60"/>
    <w:rsid w:val="003F753C"/>
    <w:rsid w:val="0040211E"/>
    <w:rsid w:val="004052B9"/>
    <w:rsid w:val="00407007"/>
    <w:rsid w:val="00407A82"/>
    <w:rsid w:val="00411462"/>
    <w:rsid w:val="00414667"/>
    <w:rsid w:val="00417E6E"/>
    <w:rsid w:val="00426C31"/>
    <w:rsid w:val="0043154F"/>
    <w:rsid w:val="00434E21"/>
    <w:rsid w:val="004436E3"/>
    <w:rsid w:val="00446A4F"/>
    <w:rsid w:val="004524E6"/>
    <w:rsid w:val="004552C9"/>
    <w:rsid w:val="00455FC9"/>
    <w:rsid w:val="00460398"/>
    <w:rsid w:val="00464454"/>
    <w:rsid w:val="00464F90"/>
    <w:rsid w:val="00466A7F"/>
    <w:rsid w:val="00466C64"/>
    <w:rsid w:val="00466D08"/>
    <w:rsid w:val="004710F6"/>
    <w:rsid w:val="0047132C"/>
    <w:rsid w:val="00472F4E"/>
    <w:rsid w:val="004771AF"/>
    <w:rsid w:val="00481A7F"/>
    <w:rsid w:val="004828FA"/>
    <w:rsid w:val="00487221"/>
    <w:rsid w:val="0049133E"/>
    <w:rsid w:val="00491ECD"/>
    <w:rsid w:val="00495460"/>
    <w:rsid w:val="0049564C"/>
    <w:rsid w:val="00496286"/>
    <w:rsid w:val="004975F5"/>
    <w:rsid w:val="004A3EAA"/>
    <w:rsid w:val="004A5108"/>
    <w:rsid w:val="004A7686"/>
    <w:rsid w:val="004A7B76"/>
    <w:rsid w:val="004B0542"/>
    <w:rsid w:val="004B4CF7"/>
    <w:rsid w:val="004B5F6A"/>
    <w:rsid w:val="004C08D6"/>
    <w:rsid w:val="004C218F"/>
    <w:rsid w:val="004C4E5C"/>
    <w:rsid w:val="004C59A2"/>
    <w:rsid w:val="004C7174"/>
    <w:rsid w:val="004D2C41"/>
    <w:rsid w:val="004D3A53"/>
    <w:rsid w:val="004D4A79"/>
    <w:rsid w:val="004E1709"/>
    <w:rsid w:val="004E2400"/>
    <w:rsid w:val="004F0923"/>
    <w:rsid w:val="004F273E"/>
    <w:rsid w:val="004F7C34"/>
    <w:rsid w:val="00504C8D"/>
    <w:rsid w:val="00506D6B"/>
    <w:rsid w:val="00510815"/>
    <w:rsid w:val="00514490"/>
    <w:rsid w:val="005232FC"/>
    <w:rsid w:val="0052411C"/>
    <w:rsid w:val="00531834"/>
    <w:rsid w:val="00531A10"/>
    <w:rsid w:val="00534A0D"/>
    <w:rsid w:val="00534B52"/>
    <w:rsid w:val="005366D4"/>
    <w:rsid w:val="00536ECD"/>
    <w:rsid w:val="00546744"/>
    <w:rsid w:val="0054701E"/>
    <w:rsid w:val="00552203"/>
    <w:rsid w:val="00552E3B"/>
    <w:rsid w:val="005556C4"/>
    <w:rsid w:val="00561DF4"/>
    <w:rsid w:val="00564521"/>
    <w:rsid w:val="00566A3C"/>
    <w:rsid w:val="00571D7B"/>
    <w:rsid w:val="00572227"/>
    <w:rsid w:val="00575C79"/>
    <w:rsid w:val="00576B80"/>
    <w:rsid w:val="00583CF8"/>
    <w:rsid w:val="0058507E"/>
    <w:rsid w:val="00596992"/>
    <w:rsid w:val="005A0736"/>
    <w:rsid w:val="005A1CAB"/>
    <w:rsid w:val="005A2672"/>
    <w:rsid w:val="005A4D35"/>
    <w:rsid w:val="005A60E2"/>
    <w:rsid w:val="005B0074"/>
    <w:rsid w:val="005B599C"/>
    <w:rsid w:val="005B7FBC"/>
    <w:rsid w:val="005C14DD"/>
    <w:rsid w:val="005D5F7B"/>
    <w:rsid w:val="005E0C44"/>
    <w:rsid w:val="005E276C"/>
    <w:rsid w:val="005E40EB"/>
    <w:rsid w:val="006011F8"/>
    <w:rsid w:val="006032E8"/>
    <w:rsid w:val="006033A6"/>
    <w:rsid w:val="006044F1"/>
    <w:rsid w:val="0060730F"/>
    <w:rsid w:val="0061065C"/>
    <w:rsid w:val="00614CF0"/>
    <w:rsid w:val="00617341"/>
    <w:rsid w:val="00620906"/>
    <w:rsid w:val="00621D3E"/>
    <w:rsid w:val="00623C91"/>
    <w:rsid w:val="006379B1"/>
    <w:rsid w:val="00642235"/>
    <w:rsid w:val="00642DC1"/>
    <w:rsid w:val="00644FB8"/>
    <w:rsid w:val="00655354"/>
    <w:rsid w:val="0065676E"/>
    <w:rsid w:val="006602C1"/>
    <w:rsid w:val="0066287E"/>
    <w:rsid w:val="00662DD3"/>
    <w:rsid w:val="00665582"/>
    <w:rsid w:val="00672367"/>
    <w:rsid w:val="006733ED"/>
    <w:rsid w:val="00673C32"/>
    <w:rsid w:val="00675CF1"/>
    <w:rsid w:val="00677EA6"/>
    <w:rsid w:val="00681D6C"/>
    <w:rsid w:val="00683DDA"/>
    <w:rsid w:val="00691E51"/>
    <w:rsid w:val="006954A3"/>
    <w:rsid w:val="006A17ED"/>
    <w:rsid w:val="006A4AF8"/>
    <w:rsid w:val="006B24D5"/>
    <w:rsid w:val="006B49BD"/>
    <w:rsid w:val="006B589D"/>
    <w:rsid w:val="006C0377"/>
    <w:rsid w:val="006C21E3"/>
    <w:rsid w:val="006C2F18"/>
    <w:rsid w:val="006C6CEF"/>
    <w:rsid w:val="006D02EB"/>
    <w:rsid w:val="006E083E"/>
    <w:rsid w:val="006E36B8"/>
    <w:rsid w:val="006E64A7"/>
    <w:rsid w:val="006F0CAA"/>
    <w:rsid w:val="006F17FF"/>
    <w:rsid w:val="006F2048"/>
    <w:rsid w:val="006F2907"/>
    <w:rsid w:val="007016C7"/>
    <w:rsid w:val="00703EAD"/>
    <w:rsid w:val="00706C23"/>
    <w:rsid w:val="007073CA"/>
    <w:rsid w:val="007127B0"/>
    <w:rsid w:val="007166A0"/>
    <w:rsid w:val="00722740"/>
    <w:rsid w:val="00725A19"/>
    <w:rsid w:val="00726496"/>
    <w:rsid w:val="007374ED"/>
    <w:rsid w:val="00740710"/>
    <w:rsid w:val="00751CFC"/>
    <w:rsid w:val="00752B85"/>
    <w:rsid w:val="0075382E"/>
    <w:rsid w:val="00754A62"/>
    <w:rsid w:val="00754D4C"/>
    <w:rsid w:val="007565AF"/>
    <w:rsid w:val="00762630"/>
    <w:rsid w:val="007635AA"/>
    <w:rsid w:val="00764485"/>
    <w:rsid w:val="007655B1"/>
    <w:rsid w:val="00772F00"/>
    <w:rsid w:val="007733BA"/>
    <w:rsid w:val="00773F8F"/>
    <w:rsid w:val="00774F29"/>
    <w:rsid w:val="00775517"/>
    <w:rsid w:val="007772A9"/>
    <w:rsid w:val="00781BA9"/>
    <w:rsid w:val="007825EE"/>
    <w:rsid w:val="00782625"/>
    <w:rsid w:val="00784D3A"/>
    <w:rsid w:val="007859B3"/>
    <w:rsid w:val="007866A0"/>
    <w:rsid w:val="00787AD2"/>
    <w:rsid w:val="00793663"/>
    <w:rsid w:val="00796753"/>
    <w:rsid w:val="007A4420"/>
    <w:rsid w:val="007A4DAD"/>
    <w:rsid w:val="007A7E5D"/>
    <w:rsid w:val="007B0D3C"/>
    <w:rsid w:val="007B2E74"/>
    <w:rsid w:val="007B30A9"/>
    <w:rsid w:val="007B3B15"/>
    <w:rsid w:val="007B6799"/>
    <w:rsid w:val="007C723E"/>
    <w:rsid w:val="007C738C"/>
    <w:rsid w:val="007D0E6B"/>
    <w:rsid w:val="007D2B42"/>
    <w:rsid w:val="007D7B2E"/>
    <w:rsid w:val="007E38FD"/>
    <w:rsid w:val="007E5784"/>
    <w:rsid w:val="007F31E8"/>
    <w:rsid w:val="007F4AF8"/>
    <w:rsid w:val="00800CF1"/>
    <w:rsid w:val="008040F8"/>
    <w:rsid w:val="00810DCA"/>
    <w:rsid w:val="00810E13"/>
    <w:rsid w:val="008124F7"/>
    <w:rsid w:val="008134AD"/>
    <w:rsid w:val="00820B9C"/>
    <w:rsid w:val="00821F79"/>
    <w:rsid w:val="008224FD"/>
    <w:rsid w:val="008340A9"/>
    <w:rsid w:val="008513FF"/>
    <w:rsid w:val="0086268B"/>
    <w:rsid w:val="00867AD2"/>
    <w:rsid w:val="008712E4"/>
    <w:rsid w:val="008725E6"/>
    <w:rsid w:val="00874061"/>
    <w:rsid w:val="00874D8E"/>
    <w:rsid w:val="00884E85"/>
    <w:rsid w:val="00891263"/>
    <w:rsid w:val="008A5330"/>
    <w:rsid w:val="008A6DF8"/>
    <w:rsid w:val="008B25D0"/>
    <w:rsid w:val="008B7352"/>
    <w:rsid w:val="008C3E99"/>
    <w:rsid w:val="008C621A"/>
    <w:rsid w:val="008D1F16"/>
    <w:rsid w:val="008D389F"/>
    <w:rsid w:val="008D47D2"/>
    <w:rsid w:val="008D5BC4"/>
    <w:rsid w:val="008E1AB0"/>
    <w:rsid w:val="008E299D"/>
    <w:rsid w:val="008E3281"/>
    <w:rsid w:val="008E4307"/>
    <w:rsid w:val="008E48F5"/>
    <w:rsid w:val="008E5931"/>
    <w:rsid w:val="008E7EF9"/>
    <w:rsid w:val="00901878"/>
    <w:rsid w:val="00904111"/>
    <w:rsid w:val="009074E1"/>
    <w:rsid w:val="00907585"/>
    <w:rsid w:val="0091200B"/>
    <w:rsid w:val="00912D64"/>
    <w:rsid w:val="00913BC7"/>
    <w:rsid w:val="0091683A"/>
    <w:rsid w:val="00916C2B"/>
    <w:rsid w:val="0092646F"/>
    <w:rsid w:val="009303FE"/>
    <w:rsid w:val="00937FF8"/>
    <w:rsid w:val="00942528"/>
    <w:rsid w:val="009448DE"/>
    <w:rsid w:val="00947898"/>
    <w:rsid w:val="0095463C"/>
    <w:rsid w:val="009550DE"/>
    <w:rsid w:val="009617B1"/>
    <w:rsid w:val="009655F9"/>
    <w:rsid w:val="00965946"/>
    <w:rsid w:val="00974C84"/>
    <w:rsid w:val="00975E32"/>
    <w:rsid w:val="00976B3D"/>
    <w:rsid w:val="0098063C"/>
    <w:rsid w:val="009825E7"/>
    <w:rsid w:val="009826E9"/>
    <w:rsid w:val="0099265D"/>
    <w:rsid w:val="00993657"/>
    <w:rsid w:val="009A0C30"/>
    <w:rsid w:val="009A410F"/>
    <w:rsid w:val="009A4B62"/>
    <w:rsid w:val="009A7158"/>
    <w:rsid w:val="009B50C7"/>
    <w:rsid w:val="009B7A32"/>
    <w:rsid w:val="009C099F"/>
    <w:rsid w:val="009C6841"/>
    <w:rsid w:val="009D1E6F"/>
    <w:rsid w:val="009D5379"/>
    <w:rsid w:val="009D7D16"/>
    <w:rsid w:val="009E0644"/>
    <w:rsid w:val="009E0A5B"/>
    <w:rsid w:val="009F5693"/>
    <w:rsid w:val="00A01E01"/>
    <w:rsid w:val="00A051B2"/>
    <w:rsid w:val="00A05D5A"/>
    <w:rsid w:val="00A078EE"/>
    <w:rsid w:val="00A12355"/>
    <w:rsid w:val="00A129E4"/>
    <w:rsid w:val="00A13777"/>
    <w:rsid w:val="00A154A9"/>
    <w:rsid w:val="00A20C55"/>
    <w:rsid w:val="00A24365"/>
    <w:rsid w:val="00A300CA"/>
    <w:rsid w:val="00A355EF"/>
    <w:rsid w:val="00A368EA"/>
    <w:rsid w:val="00A50B50"/>
    <w:rsid w:val="00A512B6"/>
    <w:rsid w:val="00A54646"/>
    <w:rsid w:val="00A54A12"/>
    <w:rsid w:val="00A60E37"/>
    <w:rsid w:val="00A63429"/>
    <w:rsid w:val="00A648C4"/>
    <w:rsid w:val="00A64F64"/>
    <w:rsid w:val="00A65DB6"/>
    <w:rsid w:val="00A665ED"/>
    <w:rsid w:val="00A71AB6"/>
    <w:rsid w:val="00A85EC6"/>
    <w:rsid w:val="00A860A6"/>
    <w:rsid w:val="00A925B4"/>
    <w:rsid w:val="00A92D83"/>
    <w:rsid w:val="00A93C4F"/>
    <w:rsid w:val="00A960BE"/>
    <w:rsid w:val="00A96413"/>
    <w:rsid w:val="00AA4BD4"/>
    <w:rsid w:val="00AB362E"/>
    <w:rsid w:val="00AB647D"/>
    <w:rsid w:val="00AB6A01"/>
    <w:rsid w:val="00AC538B"/>
    <w:rsid w:val="00AD534F"/>
    <w:rsid w:val="00AD73FA"/>
    <w:rsid w:val="00AE2741"/>
    <w:rsid w:val="00AE2B51"/>
    <w:rsid w:val="00AE3A3E"/>
    <w:rsid w:val="00AF2B06"/>
    <w:rsid w:val="00AF49ED"/>
    <w:rsid w:val="00AF552F"/>
    <w:rsid w:val="00B0124C"/>
    <w:rsid w:val="00B013D5"/>
    <w:rsid w:val="00B02292"/>
    <w:rsid w:val="00B169E3"/>
    <w:rsid w:val="00B1721E"/>
    <w:rsid w:val="00B24000"/>
    <w:rsid w:val="00B3003F"/>
    <w:rsid w:val="00B3636A"/>
    <w:rsid w:val="00B40A6C"/>
    <w:rsid w:val="00B422E3"/>
    <w:rsid w:val="00B439D8"/>
    <w:rsid w:val="00B57B0E"/>
    <w:rsid w:val="00B63F06"/>
    <w:rsid w:val="00B641DA"/>
    <w:rsid w:val="00B64944"/>
    <w:rsid w:val="00B64CA0"/>
    <w:rsid w:val="00B70FA1"/>
    <w:rsid w:val="00B72978"/>
    <w:rsid w:val="00B72A8C"/>
    <w:rsid w:val="00B752AE"/>
    <w:rsid w:val="00B81A34"/>
    <w:rsid w:val="00B83FC8"/>
    <w:rsid w:val="00B853AC"/>
    <w:rsid w:val="00B87B1F"/>
    <w:rsid w:val="00BA2F8D"/>
    <w:rsid w:val="00BA3C51"/>
    <w:rsid w:val="00BA4B2B"/>
    <w:rsid w:val="00BA52C9"/>
    <w:rsid w:val="00BA6AE2"/>
    <w:rsid w:val="00BB320B"/>
    <w:rsid w:val="00BB3742"/>
    <w:rsid w:val="00BC19F8"/>
    <w:rsid w:val="00BC268C"/>
    <w:rsid w:val="00BC45D1"/>
    <w:rsid w:val="00BC4781"/>
    <w:rsid w:val="00BC5EDE"/>
    <w:rsid w:val="00BC726E"/>
    <w:rsid w:val="00BD1FFF"/>
    <w:rsid w:val="00BD4FDD"/>
    <w:rsid w:val="00BD5803"/>
    <w:rsid w:val="00BE0CA8"/>
    <w:rsid w:val="00BE3140"/>
    <w:rsid w:val="00BE3EEC"/>
    <w:rsid w:val="00BF0A93"/>
    <w:rsid w:val="00BF2278"/>
    <w:rsid w:val="00BF3C92"/>
    <w:rsid w:val="00BF5619"/>
    <w:rsid w:val="00BF5CBE"/>
    <w:rsid w:val="00BF6D04"/>
    <w:rsid w:val="00BF7B50"/>
    <w:rsid w:val="00C00D94"/>
    <w:rsid w:val="00C01818"/>
    <w:rsid w:val="00C0319B"/>
    <w:rsid w:val="00C1032C"/>
    <w:rsid w:val="00C11E70"/>
    <w:rsid w:val="00C15F5C"/>
    <w:rsid w:val="00C16AE9"/>
    <w:rsid w:val="00C20080"/>
    <w:rsid w:val="00C20816"/>
    <w:rsid w:val="00C2139E"/>
    <w:rsid w:val="00C25123"/>
    <w:rsid w:val="00C258DC"/>
    <w:rsid w:val="00C2613B"/>
    <w:rsid w:val="00C36B0B"/>
    <w:rsid w:val="00C37B0F"/>
    <w:rsid w:val="00C41B9E"/>
    <w:rsid w:val="00C43E42"/>
    <w:rsid w:val="00C4427C"/>
    <w:rsid w:val="00C45DE3"/>
    <w:rsid w:val="00C47824"/>
    <w:rsid w:val="00C50CC3"/>
    <w:rsid w:val="00C5577B"/>
    <w:rsid w:val="00C562A4"/>
    <w:rsid w:val="00C577C6"/>
    <w:rsid w:val="00C6264C"/>
    <w:rsid w:val="00C63433"/>
    <w:rsid w:val="00C65881"/>
    <w:rsid w:val="00C65FD2"/>
    <w:rsid w:val="00C7485F"/>
    <w:rsid w:val="00C74D05"/>
    <w:rsid w:val="00C75B57"/>
    <w:rsid w:val="00C82B81"/>
    <w:rsid w:val="00C84DF3"/>
    <w:rsid w:val="00C86EE2"/>
    <w:rsid w:val="00CA156D"/>
    <w:rsid w:val="00CA4064"/>
    <w:rsid w:val="00CA64A0"/>
    <w:rsid w:val="00CA7F48"/>
    <w:rsid w:val="00CB2D80"/>
    <w:rsid w:val="00CB5253"/>
    <w:rsid w:val="00CB545F"/>
    <w:rsid w:val="00CC2582"/>
    <w:rsid w:val="00CC34C2"/>
    <w:rsid w:val="00CC3C6B"/>
    <w:rsid w:val="00CC6B92"/>
    <w:rsid w:val="00CD3E37"/>
    <w:rsid w:val="00CE1B6F"/>
    <w:rsid w:val="00CE22C5"/>
    <w:rsid w:val="00CE6667"/>
    <w:rsid w:val="00CF2316"/>
    <w:rsid w:val="00CF5EB1"/>
    <w:rsid w:val="00CF6D0F"/>
    <w:rsid w:val="00D00686"/>
    <w:rsid w:val="00D011B1"/>
    <w:rsid w:val="00D1200C"/>
    <w:rsid w:val="00D123D6"/>
    <w:rsid w:val="00D16D39"/>
    <w:rsid w:val="00D22251"/>
    <w:rsid w:val="00D222E8"/>
    <w:rsid w:val="00D3089C"/>
    <w:rsid w:val="00D31A6C"/>
    <w:rsid w:val="00D35DEF"/>
    <w:rsid w:val="00D36E29"/>
    <w:rsid w:val="00D37601"/>
    <w:rsid w:val="00D41799"/>
    <w:rsid w:val="00D446DB"/>
    <w:rsid w:val="00D60D09"/>
    <w:rsid w:val="00D7070B"/>
    <w:rsid w:val="00D71739"/>
    <w:rsid w:val="00D74333"/>
    <w:rsid w:val="00D74B4B"/>
    <w:rsid w:val="00D7504C"/>
    <w:rsid w:val="00D813B2"/>
    <w:rsid w:val="00D84EF7"/>
    <w:rsid w:val="00D86BBC"/>
    <w:rsid w:val="00D87864"/>
    <w:rsid w:val="00D9347C"/>
    <w:rsid w:val="00D97DEC"/>
    <w:rsid w:val="00DA26A8"/>
    <w:rsid w:val="00DA411A"/>
    <w:rsid w:val="00DA552A"/>
    <w:rsid w:val="00DA623E"/>
    <w:rsid w:val="00DA71CF"/>
    <w:rsid w:val="00DB58A5"/>
    <w:rsid w:val="00DB76CE"/>
    <w:rsid w:val="00DC7CE6"/>
    <w:rsid w:val="00DD2ADB"/>
    <w:rsid w:val="00DD2E66"/>
    <w:rsid w:val="00DD4A81"/>
    <w:rsid w:val="00DD7BE2"/>
    <w:rsid w:val="00DE0110"/>
    <w:rsid w:val="00DE134B"/>
    <w:rsid w:val="00DE1408"/>
    <w:rsid w:val="00DF1C84"/>
    <w:rsid w:val="00DF234B"/>
    <w:rsid w:val="00DF2784"/>
    <w:rsid w:val="00DF5C2D"/>
    <w:rsid w:val="00E00A82"/>
    <w:rsid w:val="00E00C74"/>
    <w:rsid w:val="00E102A0"/>
    <w:rsid w:val="00E11316"/>
    <w:rsid w:val="00E1263F"/>
    <w:rsid w:val="00E14A78"/>
    <w:rsid w:val="00E14C62"/>
    <w:rsid w:val="00E20924"/>
    <w:rsid w:val="00E24939"/>
    <w:rsid w:val="00E32300"/>
    <w:rsid w:val="00E33A65"/>
    <w:rsid w:val="00E4131D"/>
    <w:rsid w:val="00E440E9"/>
    <w:rsid w:val="00E453A5"/>
    <w:rsid w:val="00E46B1C"/>
    <w:rsid w:val="00E53776"/>
    <w:rsid w:val="00E54F68"/>
    <w:rsid w:val="00E556DC"/>
    <w:rsid w:val="00E67711"/>
    <w:rsid w:val="00E75A2B"/>
    <w:rsid w:val="00E80FF2"/>
    <w:rsid w:val="00E82355"/>
    <w:rsid w:val="00E8661B"/>
    <w:rsid w:val="00E8748B"/>
    <w:rsid w:val="00E87E89"/>
    <w:rsid w:val="00E9153A"/>
    <w:rsid w:val="00E920DF"/>
    <w:rsid w:val="00E94117"/>
    <w:rsid w:val="00E952BE"/>
    <w:rsid w:val="00E9572D"/>
    <w:rsid w:val="00EA01BB"/>
    <w:rsid w:val="00EA1A3A"/>
    <w:rsid w:val="00EA1F8D"/>
    <w:rsid w:val="00EA3B5E"/>
    <w:rsid w:val="00EA62BE"/>
    <w:rsid w:val="00EA6401"/>
    <w:rsid w:val="00EB22D4"/>
    <w:rsid w:val="00EC0B42"/>
    <w:rsid w:val="00EC4DDE"/>
    <w:rsid w:val="00EC5204"/>
    <w:rsid w:val="00ED211B"/>
    <w:rsid w:val="00ED4E00"/>
    <w:rsid w:val="00ED79EF"/>
    <w:rsid w:val="00EE65C7"/>
    <w:rsid w:val="00EE75AB"/>
    <w:rsid w:val="00EF51C3"/>
    <w:rsid w:val="00F007A1"/>
    <w:rsid w:val="00F00917"/>
    <w:rsid w:val="00F0332F"/>
    <w:rsid w:val="00F11EA9"/>
    <w:rsid w:val="00F11F08"/>
    <w:rsid w:val="00F15620"/>
    <w:rsid w:val="00F15FD7"/>
    <w:rsid w:val="00F16084"/>
    <w:rsid w:val="00F16A91"/>
    <w:rsid w:val="00F17878"/>
    <w:rsid w:val="00F21B5C"/>
    <w:rsid w:val="00F230C4"/>
    <w:rsid w:val="00F23E0C"/>
    <w:rsid w:val="00F2526D"/>
    <w:rsid w:val="00F27D8B"/>
    <w:rsid w:val="00F37210"/>
    <w:rsid w:val="00F4493C"/>
    <w:rsid w:val="00F52642"/>
    <w:rsid w:val="00F53090"/>
    <w:rsid w:val="00F547BF"/>
    <w:rsid w:val="00F55DD9"/>
    <w:rsid w:val="00F60128"/>
    <w:rsid w:val="00F73E4B"/>
    <w:rsid w:val="00F74AFA"/>
    <w:rsid w:val="00F8123D"/>
    <w:rsid w:val="00F83286"/>
    <w:rsid w:val="00F95D72"/>
    <w:rsid w:val="00F96AA5"/>
    <w:rsid w:val="00FA534F"/>
    <w:rsid w:val="00FA59F2"/>
    <w:rsid w:val="00FB3FCD"/>
    <w:rsid w:val="00FB6D01"/>
    <w:rsid w:val="00FB7499"/>
    <w:rsid w:val="00FB7B1B"/>
    <w:rsid w:val="00FC1B86"/>
    <w:rsid w:val="00FC1D1E"/>
    <w:rsid w:val="00FC5693"/>
    <w:rsid w:val="00FC5FAF"/>
    <w:rsid w:val="00FD58BD"/>
    <w:rsid w:val="00FD7011"/>
    <w:rsid w:val="00FE23A8"/>
    <w:rsid w:val="00FE351F"/>
    <w:rsid w:val="00FE6F6A"/>
    <w:rsid w:val="00FF0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5FB14"/>
  <w15:docId w15:val="{DBE18EA2-B9C6-46B5-BD75-B52DD43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b/>
      <w:sz w:val="32"/>
      <w:lang w:val="en-GB"/>
    </w:rPr>
  </w:style>
  <w:style w:type="paragraph" w:styleId="Heading2">
    <w:name w:val="heading 2"/>
    <w:basedOn w:val="Normal"/>
    <w:next w:val="Normal"/>
    <w:qFormat/>
    <w:pPr>
      <w:keepNext/>
      <w:outlineLvl w:val="1"/>
    </w:pPr>
    <w:rPr>
      <w:b/>
      <w:lang w:val="en-GB"/>
    </w:rPr>
  </w:style>
  <w:style w:type="paragraph" w:styleId="Heading3">
    <w:name w:val="heading 3"/>
    <w:basedOn w:val="Normal"/>
    <w:next w:val="Normal"/>
    <w:qFormat/>
    <w:pPr>
      <w:keepNext/>
      <w:outlineLvl w:val="2"/>
    </w:pPr>
    <w:rPr>
      <w:b/>
      <w:sz w:val="28"/>
      <w:lang w:val="en-GB"/>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jc w:val="center"/>
      <w:outlineLvl w:val="4"/>
    </w:pPr>
    <w:rPr>
      <w:rFonts w:ascii="Arial" w:hAnsi="Arial"/>
      <w:b/>
      <w:i/>
      <w:sz w:val="32"/>
    </w:rPr>
  </w:style>
  <w:style w:type="paragraph" w:styleId="Heading6">
    <w:name w:val="heading 6"/>
    <w:basedOn w:val="Normal"/>
    <w:next w:val="Normal"/>
    <w:qFormat/>
    <w:pPr>
      <w:keepNext/>
      <w:jc w:val="center"/>
      <w:outlineLvl w:val="5"/>
    </w:pPr>
    <w:rPr>
      <w:rFonts w:ascii="Arial" w:hAnsi="Arial"/>
      <w:b/>
      <w:i/>
      <w:sz w:val="36"/>
    </w:rPr>
  </w:style>
  <w:style w:type="paragraph" w:styleId="Heading7">
    <w:name w:val="heading 7"/>
    <w:basedOn w:val="Normal"/>
    <w:next w:val="Normal"/>
    <w:qFormat/>
    <w:pPr>
      <w:keepNext/>
      <w:outlineLvl w:val="6"/>
    </w:pPr>
    <w:rPr>
      <w:rFonts w:ascii="Arial" w:hAnsi="Arial"/>
      <w:b/>
      <w:sz w:val="22"/>
      <w:lang w:val="en-GB"/>
    </w:rPr>
  </w:style>
  <w:style w:type="paragraph" w:styleId="Heading8">
    <w:name w:val="heading 8"/>
    <w:basedOn w:val="Normal"/>
    <w:next w:val="Normal"/>
    <w:qFormat/>
    <w:pPr>
      <w:keepNext/>
      <w:ind w:left="-567" w:right="-104"/>
      <w:outlineLvl w:val="7"/>
    </w:pPr>
    <w:rPr>
      <w:rFonts w:ascii="Arial" w:hAnsi="Arial"/>
      <w:b/>
      <w:sz w:val="22"/>
    </w:rPr>
  </w:style>
  <w:style w:type="paragraph" w:styleId="Heading9">
    <w:name w:val="heading 9"/>
    <w:basedOn w:val="Normal"/>
    <w:next w:val="Normal"/>
    <w:qFormat/>
    <w:pPr>
      <w:keepNext/>
      <w:ind w:left="630" w:right="565" w:hanging="360"/>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284" w:right="-104"/>
    </w:pPr>
    <w:rPr>
      <w:rFonts w:ascii="Arial" w:hAnsi="Arial"/>
      <w:sz w:val="22"/>
    </w:rPr>
  </w:style>
  <w:style w:type="paragraph" w:styleId="BodyText2">
    <w:name w:val="Body Text 2"/>
    <w:basedOn w:val="Normal"/>
    <w:pPr>
      <w:ind w:left="567"/>
    </w:pPr>
    <w:rPr>
      <w:rFonts w:ascii="Arial" w:hAnsi="Arial"/>
      <w:sz w:val="22"/>
      <w:lang w:val="en-GB"/>
    </w:rPr>
  </w:style>
  <w:style w:type="paragraph" w:styleId="BodyText">
    <w:name w:val="Body Text"/>
    <w:basedOn w:val="Normal"/>
    <w:rPr>
      <w:rFonts w:ascii="Arial" w:hAnsi="Arial"/>
      <w:sz w:val="22"/>
      <w:lang w:val="en-GB"/>
    </w:rPr>
  </w:style>
  <w:style w:type="paragraph" w:styleId="BodyTextIndent">
    <w:name w:val="Body Text Indent"/>
    <w:basedOn w:val="Normal"/>
    <w:pPr>
      <w:ind w:left="567"/>
    </w:pPr>
    <w:rPr>
      <w:rFonts w:ascii="Arial" w:hAnsi="Arial"/>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20" w:hanging="720"/>
    </w:pPr>
    <w:rPr>
      <w:rFonts w:ascii="Arial" w:hAnsi="Arial" w:cs="Arial"/>
    </w:rPr>
  </w:style>
  <w:style w:type="paragraph" w:styleId="BodyTextIndent3">
    <w:name w:val="Body Text Indent 3"/>
    <w:basedOn w:val="Normal"/>
    <w:pPr>
      <w:ind w:left="720" w:hanging="720"/>
    </w:pPr>
    <w:rPr>
      <w:rFonts w:ascii="Arial" w:hAnsi="Arial" w:cs="Arial"/>
      <w:color w:val="000000"/>
    </w:rPr>
  </w:style>
  <w:style w:type="paragraph" w:styleId="Title">
    <w:name w:val="Title"/>
    <w:basedOn w:val="Normal"/>
    <w:qFormat/>
    <w:pPr>
      <w:jc w:val="center"/>
    </w:pPr>
    <w:rPr>
      <w:rFonts w:ascii="Arial" w:hAnsi="Arial"/>
      <w:b/>
      <w:lang w:val="en-GB"/>
    </w:rPr>
  </w:style>
  <w:style w:type="paragraph" w:customStyle="1" w:styleId="p1">
    <w:name w:val="p1"/>
    <w:basedOn w:val="Normal"/>
    <w:pPr>
      <w:widowControl w:val="0"/>
      <w:tabs>
        <w:tab w:val="left" w:pos="720"/>
      </w:tabs>
      <w:autoSpaceDE w:val="0"/>
      <w:autoSpaceDN w:val="0"/>
      <w:adjustRightInd w:val="0"/>
      <w:spacing w:line="240" w:lineRule="atLeast"/>
    </w:pPr>
    <w:rPr>
      <w:sz w:val="20"/>
    </w:rPr>
  </w:style>
  <w:style w:type="paragraph" w:customStyle="1" w:styleId="p2">
    <w:name w:val="p2"/>
    <w:basedOn w:val="Normal"/>
    <w:pPr>
      <w:widowControl w:val="0"/>
      <w:tabs>
        <w:tab w:val="left" w:pos="720"/>
      </w:tabs>
      <w:autoSpaceDE w:val="0"/>
      <w:autoSpaceDN w:val="0"/>
      <w:adjustRightInd w:val="0"/>
      <w:spacing w:line="260" w:lineRule="atLeast"/>
    </w:pPr>
    <w:rPr>
      <w:sz w:val="20"/>
    </w:rPr>
  </w:style>
  <w:style w:type="paragraph" w:customStyle="1" w:styleId="p3">
    <w:name w:val="p3"/>
    <w:basedOn w:val="Normal"/>
    <w:pPr>
      <w:widowControl w:val="0"/>
      <w:tabs>
        <w:tab w:val="left" w:pos="740"/>
        <w:tab w:val="left" w:pos="1140"/>
      </w:tabs>
      <w:autoSpaceDE w:val="0"/>
      <w:autoSpaceDN w:val="0"/>
      <w:adjustRightInd w:val="0"/>
      <w:spacing w:line="260" w:lineRule="atLeast"/>
      <w:ind w:left="288" w:hanging="432"/>
    </w:pPr>
    <w:rPr>
      <w:sz w:val="20"/>
    </w:rPr>
  </w:style>
  <w:style w:type="paragraph" w:customStyle="1" w:styleId="p4">
    <w:name w:val="p4"/>
    <w:basedOn w:val="Normal"/>
    <w:pPr>
      <w:widowControl w:val="0"/>
      <w:autoSpaceDE w:val="0"/>
      <w:autoSpaceDN w:val="0"/>
      <w:adjustRightInd w:val="0"/>
      <w:spacing w:line="240" w:lineRule="atLeast"/>
    </w:pPr>
    <w:rPr>
      <w:sz w:val="20"/>
    </w:rPr>
  </w:style>
  <w:style w:type="paragraph" w:customStyle="1" w:styleId="c5">
    <w:name w:val="c5"/>
    <w:basedOn w:val="Normal"/>
    <w:pPr>
      <w:widowControl w:val="0"/>
      <w:autoSpaceDE w:val="0"/>
      <w:autoSpaceDN w:val="0"/>
      <w:adjustRightInd w:val="0"/>
      <w:spacing w:line="240" w:lineRule="atLeast"/>
      <w:jc w:val="center"/>
    </w:pPr>
    <w:rPr>
      <w:sz w:val="20"/>
    </w:rPr>
  </w:style>
  <w:style w:type="paragraph" w:customStyle="1" w:styleId="c1">
    <w:name w:val="c1"/>
    <w:basedOn w:val="Normal"/>
    <w:pPr>
      <w:widowControl w:val="0"/>
      <w:autoSpaceDE w:val="0"/>
      <w:autoSpaceDN w:val="0"/>
      <w:adjustRightInd w:val="0"/>
      <w:spacing w:line="240" w:lineRule="atLeast"/>
      <w:jc w:val="center"/>
    </w:pPr>
    <w:rPr>
      <w:sz w:val="20"/>
    </w:rPr>
  </w:style>
  <w:style w:type="paragraph" w:customStyle="1" w:styleId="p6">
    <w:name w:val="p6"/>
    <w:basedOn w:val="Normal"/>
    <w:pPr>
      <w:widowControl w:val="0"/>
      <w:tabs>
        <w:tab w:val="left" w:pos="720"/>
      </w:tabs>
      <w:autoSpaceDE w:val="0"/>
      <w:autoSpaceDN w:val="0"/>
      <w:adjustRightInd w:val="0"/>
      <w:spacing w:line="240" w:lineRule="atLeast"/>
    </w:pPr>
    <w:rPr>
      <w:sz w:val="20"/>
    </w:rPr>
  </w:style>
  <w:style w:type="paragraph" w:customStyle="1" w:styleId="p7">
    <w:name w:val="p7"/>
    <w:basedOn w:val="Normal"/>
    <w:pPr>
      <w:widowControl w:val="0"/>
      <w:tabs>
        <w:tab w:val="left" w:pos="360"/>
      </w:tabs>
      <w:autoSpaceDE w:val="0"/>
      <w:autoSpaceDN w:val="0"/>
      <w:adjustRightInd w:val="0"/>
      <w:spacing w:line="260" w:lineRule="atLeast"/>
      <w:ind w:left="1008" w:hanging="432"/>
    </w:pPr>
    <w:rPr>
      <w:sz w:val="20"/>
    </w:rPr>
  </w:style>
  <w:style w:type="paragraph" w:customStyle="1" w:styleId="t1">
    <w:name w:val="t1"/>
    <w:basedOn w:val="Normal"/>
    <w:pPr>
      <w:widowControl w:val="0"/>
      <w:autoSpaceDE w:val="0"/>
      <w:autoSpaceDN w:val="0"/>
      <w:adjustRightInd w:val="0"/>
      <w:spacing w:line="240" w:lineRule="atLeast"/>
    </w:pPr>
    <w:rPr>
      <w:sz w:val="20"/>
    </w:rPr>
  </w:style>
  <w:style w:type="paragraph" w:customStyle="1" w:styleId="MemoBodyText">
    <w:name w:val="Memo Body Text"/>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overflowPunct w:val="0"/>
      <w:autoSpaceDE w:val="0"/>
      <w:autoSpaceDN w:val="0"/>
      <w:adjustRightInd w:val="0"/>
      <w:jc w:val="both"/>
      <w:textAlignment w:val="baseline"/>
    </w:pPr>
    <w:rPr>
      <w:rFonts w:ascii="Arial" w:hAnsi="Arial"/>
      <w:sz w:val="22"/>
      <w:lang w:val="en-GB"/>
    </w:rPr>
  </w:style>
  <w:style w:type="paragraph" w:customStyle="1" w:styleId="OrgUnit">
    <w:name w:val="OrgUnit"/>
    <w:basedOn w:val="Normal"/>
    <w:pPr>
      <w:keepNext/>
      <w:keepLines/>
      <w:tabs>
        <w:tab w:val="left" w:pos="567"/>
      </w:tabs>
      <w:overflowPunct w:val="0"/>
      <w:autoSpaceDE w:val="0"/>
      <w:autoSpaceDN w:val="0"/>
      <w:adjustRightInd w:val="0"/>
      <w:textAlignment w:val="baseline"/>
    </w:pPr>
    <w:rPr>
      <w:rFonts w:ascii="Arial" w:hAnsi="Arial"/>
      <w:sz w:val="22"/>
      <w:lang w:val="en-GB"/>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US" w:eastAsia="en-US"/>
    </w:rPr>
  </w:style>
  <w:style w:type="character" w:customStyle="1" w:styleId="BodyTextChar">
    <w:name w:val="Body Text Char"/>
    <w:aliases w:val="Body Text Black Char"/>
    <w:rPr>
      <w:rFonts w:ascii="Arial" w:hAnsi="Arial"/>
      <w:sz w:val="22"/>
      <w:lang w:eastAsia="en-US"/>
    </w:rPr>
  </w:style>
  <w:style w:type="paragraph" w:styleId="BodyText3">
    <w:name w:val="Body Text 3"/>
    <w:basedOn w:val="Normal"/>
    <w:rPr>
      <w:rFonts w:ascii="Arial" w:hAnsi="Arial" w:cs="Arial"/>
      <w:color w:val="000000"/>
      <w:szCs w:val="18"/>
      <w:lang w:val="en-GB"/>
    </w:rPr>
  </w:style>
  <w:style w:type="paragraph" w:styleId="DocumentMap">
    <w:name w:val="Document Map"/>
    <w:basedOn w:val="Normal"/>
    <w:semiHidden/>
    <w:rsid w:val="003C3C9A"/>
    <w:pPr>
      <w:shd w:val="clear" w:color="auto" w:fill="000080"/>
    </w:pPr>
    <w:rPr>
      <w:rFonts w:ascii="Tahoma" w:hAnsi="Tahoma" w:cs="Tahoma"/>
      <w:sz w:val="20"/>
    </w:rPr>
  </w:style>
  <w:style w:type="character" w:customStyle="1" w:styleId="A4">
    <w:name w:val="A4"/>
    <w:rsid w:val="00D97DEC"/>
    <w:rPr>
      <w:rFonts w:cs="Verdana"/>
      <w:color w:val="000000"/>
      <w:sz w:val="20"/>
      <w:szCs w:val="20"/>
    </w:rPr>
  </w:style>
  <w:style w:type="paragraph" w:customStyle="1" w:styleId="Pa3">
    <w:name w:val="Pa3"/>
    <w:basedOn w:val="Normal"/>
    <w:next w:val="Normal"/>
    <w:rsid w:val="003F53AD"/>
    <w:pPr>
      <w:autoSpaceDE w:val="0"/>
      <w:autoSpaceDN w:val="0"/>
      <w:adjustRightInd w:val="0"/>
      <w:spacing w:line="241" w:lineRule="atLeast"/>
    </w:pPr>
    <w:rPr>
      <w:rFonts w:ascii="Verdana" w:hAnsi="Verdana"/>
      <w:szCs w:val="24"/>
    </w:rPr>
  </w:style>
  <w:style w:type="paragraph" w:customStyle="1" w:styleId="Default">
    <w:name w:val="Default"/>
    <w:rsid w:val="00AE2B51"/>
    <w:pPr>
      <w:autoSpaceDE w:val="0"/>
      <w:autoSpaceDN w:val="0"/>
      <w:adjustRightInd w:val="0"/>
    </w:pPr>
    <w:rPr>
      <w:rFonts w:ascii="Trebuchet MS" w:hAnsi="Trebuchet MS" w:cs="Trebuchet MS"/>
      <w:color w:val="000000"/>
      <w:sz w:val="24"/>
      <w:szCs w:val="24"/>
      <w:lang w:val="en-US" w:eastAsia="en-US"/>
    </w:rPr>
  </w:style>
  <w:style w:type="paragraph" w:styleId="TOC2">
    <w:name w:val="toc 2"/>
    <w:basedOn w:val="Normal"/>
    <w:next w:val="Normal"/>
    <w:autoRedefine/>
    <w:semiHidden/>
    <w:rsid w:val="00B3636A"/>
    <w:pPr>
      <w:ind w:left="240"/>
    </w:pPr>
  </w:style>
  <w:style w:type="paragraph" w:styleId="TOC3">
    <w:name w:val="toc 3"/>
    <w:basedOn w:val="Normal"/>
    <w:next w:val="Normal"/>
    <w:autoRedefine/>
    <w:semiHidden/>
    <w:rsid w:val="00B3636A"/>
    <w:pPr>
      <w:ind w:left="480"/>
    </w:pPr>
  </w:style>
  <w:style w:type="paragraph" w:customStyle="1" w:styleId="BodyTextGrey">
    <w:name w:val="Body Text Grey"/>
    <w:basedOn w:val="BodyText"/>
    <w:link w:val="BodyTextGreyChar"/>
    <w:qFormat/>
    <w:rsid w:val="00BB320B"/>
    <w:pPr>
      <w:spacing w:before="20" w:after="200" w:line="280" w:lineRule="atLeast"/>
    </w:pPr>
    <w:rPr>
      <w:rFonts w:cs="Arial"/>
      <w:iCs/>
      <w:color w:val="455560"/>
      <w:sz w:val="20"/>
    </w:rPr>
  </w:style>
  <w:style w:type="character" w:customStyle="1" w:styleId="BodyTextGreyChar">
    <w:name w:val="Body Text Grey Char"/>
    <w:link w:val="BodyTextGrey"/>
    <w:rsid w:val="00BB320B"/>
    <w:rPr>
      <w:rFonts w:ascii="Arial" w:hAnsi="Arial" w:cs="Arial"/>
      <w:iCs/>
      <w:color w:val="455560"/>
      <w:lang w:eastAsia="en-US"/>
    </w:rPr>
  </w:style>
  <w:style w:type="paragraph" w:customStyle="1" w:styleId="TenderH1">
    <w:name w:val="Tender H1"/>
    <w:next w:val="Normal"/>
    <w:uiPriority w:val="3"/>
    <w:rsid w:val="00061786"/>
    <w:pPr>
      <w:keepNext/>
      <w:keepLines/>
      <w:tabs>
        <w:tab w:val="num" w:pos="0"/>
      </w:tabs>
      <w:spacing w:before="20" w:after="360"/>
      <w:ind w:hanging="403"/>
    </w:pPr>
    <w:rPr>
      <w:rFonts w:ascii="Arial" w:hAnsi="Arial"/>
      <w:caps/>
      <w:color w:val="40A6CC"/>
      <w:sz w:val="36"/>
    </w:rPr>
  </w:style>
  <w:style w:type="table" w:styleId="TableGrid">
    <w:name w:val="Table Grid"/>
    <w:basedOn w:val="TableNormal"/>
    <w:rsid w:val="00703EAD"/>
    <w:pPr>
      <w:spacing w:before="2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RNumber">
    <w:name w:val="HR Number"/>
    <w:uiPriority w:val="99"/>
    <w:rsid w:val="00772F00"/>
    <w:pPr>
      <w:numPr>
        <w:numId w:val="13"/>
      </w:numPr>
    </w:pPr>
  </w:style>
  <w:style w:type="numbering" w:customStyle="1" w:styleId="HRBullet">
    <w:name w:val="HR Bullet"/>
    <w:uiPriority w:val="99"/>
    <w:rsid w:val="00772F00"/>
    <w:pPr>
      <w:numPr>
        <w:numId w:val="14"/>
      </w:numPr>
    </w:pPr>
  </w:style>
  <w:style w:type="paragraph" w:customStyle="1" w:styleId="BulletHymans">
    <w:name w:val="Bullet Hymans"/>
    <w:link w:val="BulletHymansChar"/>
    <w:uiPriority w:val="2"/>
    <w:qFormat/>
    <w:rsid w:val="00772F00"/>
    <w:pPr>
      <w:numPr>
        <w:numId w:val="14"/>
      </w:numPr>
      <w:spacing w:before="20" w:after="140" w:line="280" w:lineRule="exact"/>
    </w:pPr>
    <w:rPr>
      <w:rFonts w:ascii="Arial" w:hAnsi="Arial" w:cs="Arial"/>
      <w:iCs/>
      <w:color w:val="455560"/>
      <w:lang w:eastAsia="en-US"/>
    </w:rPr>
  </w:style>
  <w:style w:type="paragraph" w:customStyle="1" w:styleId="NumberHymans">
    <w:name w:val="Number Hymans"/>
    <w:uiPriority w:val="2"/>
    <w:qFormat/>
    <w:rsid w:val="00772F00"/>
    <w:pPr>
      <w:numPr>
        <w:numId w:val="13"/>
      </w:numPr>
      <w:spacing w:before="20" w:after="140" w:line="280" w:lineRule="exact"/>
    </w:pPr>
    <w:rPr>
      <w:rFonts w:ascii="Arial" w:hAnsi="Arial" w:cs="Arial"/>
      <w:iCs/>
      <w:color w:val="4B4B4B"/>
      <w:lang w:eastAsia="en-US"/>
    </w:rPr>
  </w:style>
  <w:style w:type="character" w:customStyle="1" w:styleId="BulletHymansChar">
    <w:name w:val="Bullet Hymans Char"/>
    <w:link w:val="BulletHymans"/>
    <w:uiPriority w:val="2"/>
    <w:locked/>
    <w:rsid w:val="00772F00"/>
    <w:rPr>
      <w:rFonts w:ascii="Arial" w:hAnsi="Arial" w:cs="Arial"/>
      <w:iCs/>
      <w:color w:val="455560"/>
      <w:lang w:eastAsia="en-US"/>
    </w:rPr>
  </w:style>
  <w:style w:type="paragraph" w:styleId="ListParagraph">
    <w:name w:val="List Paragraph"/>
    <w:basedOn w:val="Normal"/>
    <w:uiPriority w:val="34"/>
    <w:qFormat/>
    <w:rsid w:val="00677EA6"/>
    <w:pPr>
      <w:ind w:left="720"/>
    </w:pPr>
  </w:style>
  <w:style w:type="table" w:styleId="LightShading">
    <w:name w:val="Light Shading"/>
    <w:basedOn w:val="TableNormal"/>
    <w:uiPriority w:val="60"/>
    <w:rsid w:val="00AB362E"/>
    <w:rPr>
      <w:rFonts w:ascii="Calibri" w:eastAsia="Calibri" w:hAnsi="Calibri"/>
      <w:color w:val="000000"/>
      <w:sz w:val="22"/>
      <w:szCs w:val="22"/>
      <w:lang w:eastAsia="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harCharCharCharCharChar">
    <w:name w:val="Char Char Char Char Char Char Char Char"/>
    <w:basedOn w:val="Normal"/>
    <w:rsid w:val="003D6BA8"/>
    <w:pPr>
      <w:spacing w:after="160" w:line="240" w:lineRule="exact"/>
    </w:pPr>
    <w:rPr>
      <w:rFonts w:ascii="Tahoma" w:hAnsi="Tahoma"/>
      <w:sz w:val="20"/>
      <w:lang w:val="en-GB" w:eastAsia="en-GB"/>
    </w:rPr>
  </w:style>
  <w:style w:type="character" w:styleId="CommentReference">
    <w:name w:val="annotation reference"/>
    <w:rsid w:val="00426C31"/>
    <w:rPr>
      <w:sz w:val="16"/>
      <w:szCs w:val="16"/>
    </w:rPr>
  </w:style>
  <w:style w:type="paragraph" w:styleId="CommentText">
    <w:name w:val="annotation text"/>
    <w:basedOn w:val="Normal"/>
    <w:link w:val="CommentTextChar"/>
    <w:uiPriority w:val="99"/>
    <w:rsid w:val="00426C31"/>
    <w:rPr>
      <w:sz w:val="20"/>
    </w:rPr>
  </w:style>
  <w:style w:type="character" w:customStyle="1" w:styleId="CommentTextChar">
    <w:name w:val="Comment Text Char"/>
    <w:link w:val="CommentText"/>
    <w:uiPriority w:val="99"/>
    <w:rsid w:val="00426C31"/>
    <w:rPr>
      <w:lang w:val="en-US" w:eastAsia="en-US"/>
    </w:rPr>
  </w:style>
  <w:style w:type="paragraph" w:styleId="CommentSubject">
    <w:name w:val="annotation subject"/>
    <w:basedOn w:val="CommentText"/>
    <w:next w:val="CommentText"/>
    <w:link w:val="CommentSubjectChar"/>
    <w:rsid w:val="00426C31"/>
    <w:rPr>
      <w:b/>
      <w:bCs/>
    </w:rPr>
  </w:style>
  <w:style w:type="character" w:customStyle="1" w:styleId="CommentSubjectChar">
    <w:name w:val="Comment Subject Char"/>
    <w:link w:val="CommentSubject"/>
    <w:rsid w:val="00426C31"/>
    <w:rPr>
      <w:b/>
      <w:bCs/>
      <w:lang w:val="en-US" w:eastAsia="en-US"/>
    </w:rPr>
  </w:style>
  <w:style w:type="paragraph" w:styleId="Revision">
    <w:name w:val="Revision"/>
    <w:hidden/>
    <w:uiPriority w:val="99"/>
    <w:semiHidden/>
    <w:rsid w:val="00426C31"/>
    <w:rPr>
      <w:sz w:val="24"/>
      <w:lang w:val="en-US" w:eastAsia="en-US"/>
    </w:rPr>
  </w:style>
  <w:style w:type="paragraph" w:customStyle="1" w:styleId="AonBodyCopy">
    <w:name w:val="Aon Body Copy"/>
    <w:basedOn w:val="Normal"/>
    <w:rsid w:val="00274838"/>
    <w:pPr>
      <w:spacing w:after="120" w:line="264" w:lineRule="auto"/>
    </w:pPr>
    <w:rPr>
      <w:rFonts w:ascii="Arial" w:eastAsia="MS Mincho" w:hAnsi="Arial"/>
      <w:sz w:val="20"/>
      <w:lang w:val="en-GB"/>
    </w:rPr>
  </w:style>
  <w:style w:type="paragraph" w:styleId="NormalWeb">
    <w:name w:val="Normal (Web)"/>
    <w:basedOn w:val="Normal"/>
    <w:uiPriority w:val="99"/>
    <w:rsid w:val="00274838"/>
    <w:rPr>
      <w:rFonts w:eastAsia="MS Mincho"/>
      <w:szCs w:val="24"/>
      <w:lang w:val="en-GB"/>
    </w:rPr>
  </w:style>
  <w:style w:type="paragraph" w:customStyle="1" w:styleId="TableRowHead">
    <w:name w:val="TableRowHead"/>
    <w:basedOn w:val="Normal"/>
    <w:rsid w:val="00C25123"/>
    <w:pPr>
      <w:spacing w:before="40" w:line="200" w:lineRule="atLeast"/>
    </w:pPr>
    <w:rPr>
      <w:rFonts w:ascii="Arial" w:eastAsia="MS Mincho" w:hAnsi="Arial" w:cs="Arial"/>
      <w:b/>
      <w:sz w:val="20"/>
      <w:lang w:val="en-GB"/>
    </w:rPr>
  </w:style>
  <w:style w:type="paragraph" w:customStyle="1" w:styleId="Tablecopy">
    <w:name w:val="Tablecopy"/>
    <w:basedOn w:val="Normal"/>
    <w:rsid w:val="00C25123"/>
    <w:pPr>
      <w:spacing w:before="40" w:line="200" w:lineRule="atLeast"/>
      <w:jc w:val="right"/>
    </w:pPr>
    <w:rPr>
      <w:rFonts w:ascii="Arial" w:eastAsia="MS Mincho" w:hAnsi="Arial" w:cs="Arial"/>
      <w:sz w:val="20"/>
      <w:lang w:val="en-GB"/>
    </w:rPr>
  </w:style>
  <w:style w:type="paragraph" w:customStyle="1" w:styleId="TableColumnHead">
    <w:name w:val="TableColumnHead"/>
    <w:basedOn w:val="Normal"/>
    <w:rsid w:val="00C25123"/>
    <w:pPr>
      <w:spacing w:after="60"/>
      <w:jc w:val="right"/>
    </w:pPr>
    <w:rPr>
      <w:rFonts w:ascii="Arial" w:eastAsia="Times" w:hAnsi="Arial" w:cs="Arial"/>
      <w:b/>
      <w:sz w:val="20"/>
      <w:lang w:val="en-GB"/>
    </w:rPr>
  </w:style>
  <w:style w:type="paragraph" w:customStyle="1" w:styleId="TableHeader">
    <w:name w:val="TableHeader"/>
    <w:basedOn w:val="Normal"/>
    <w:rsid w:val="00C25123"/>
    <w:rPr>
      <w:rFonts w:ascii="Arial" w:eastAsia="Times" w:hAnsi="Arial" w:cs="Arial"/>
      <w:b/>
      <w:sz w:val="20"/>
      <w:lang w:val="en-GB"/>
    </w:rPr>
  </w:style>
  <w:style w:type="paragraph" w:customStyle="1" w:styleId="2ColumnBody">
    <w:name w:val="2 Column Body"/>
    <w:basedOn w:val="AonBodyCopy"/>
    <w:rsid w:val="00C25123"/>
  </w:style>
  <w:style w:type="paragraph" w:customStyle="1" w:styleId="2ColumnVerticalSpace">
    <w:name w:val="2 Column Vertical Space"/>
    <w:basedOn w:val="AonBodyCopy"/>
    <w:next w:val="AonBodyCopy"/>
    <w:rsid w:val="00A63429"/>
    <w:pPr>
      <w:pBdr>
        <w:top w:val="single" w:sz="4" w:space="1" w:color="auto"/>
      </w:pBdr>
      <w:spacing w:before="120" w:after="0"/>
      <w:ind w:left="2520"/>
      <w:jc w:val="righ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6437">
      <w:bodyDiv w:val="1"/>
      <w:marLeft w:val="0"/>
      <w:marRight w:val="0"/>
      <w:marTop w:val="0"/>
      <w:marBottom w:val="0"/>
      <w:divBdr>
        <w:top w:val="none" w:sz="0" w:space="0" w:color="auto"/>
        <w:left w:val="none" w:sz="0" w:space="0" w:color="auto"/>
        <w:bottom w:val="none" w:sz="0" w:space="0" w:color="auto"/>
        <w:right w:val="none" w:sz="0" w:space="0" w:color="auto"/>
      </w:divBdr>
    </w:div>
    <w:div w:id="249042762">
      <w:bodyDiv w:val="1"/>
      <w:marLeft w:val="0"/>
      <w:marRight w:val="0"/>
      <w:marTop w:val="0"/>
      <w:marBottom w:val="0"/>
      <w:divBdr>
        <w:top w:val="none" w:sz="0" w:space="0" w:color="auto"/>
        <w:left w:val="none" w:sz="0" w:space="0" w:color="auto"/>
        <w:bottom w:val="none" w:sz="0" w:space="0" w:color="auto"/>
        <w:right w:val="none" w:sz="0" w:space="0" w:color="auto"/>
      </w:divBdr>
    </w:div>
    <w:div w:id="648439767">
      <w:bodyDiv w:val="1"/>
      <w:marLeft w:val="0"/>
      <w:marRight w:val="0"/>
      <w:marTop w:val="0"/>
      <w:marBottom w:val="0"/>
      <w:divBdr>
        <w:top w:val="none" w:sz="0" w:space="0" w:color="auto"/>
        <w:left w:val="none" w:sz="0" w:space="0" w:color="auto"/>
        <w:bottom w:val="none" w:sz="0" w:space="0" w:color="auto"/>
        <w:right w:val="none" w:sz="0" w:space="0" w:color="auto"/>
      </w:divBdr>
    </w:div>
    <w:div w:id="968392177">
      <w:bodyDiv w:val="1"/>
      <w:marLeft w:val="0"/>
      <w:marRight w:val="0"/>
      <w:marTop w:val="0"/>
      <w:marBottom w:val="0"/>
      <w:divBdr>
        <w:top w:val="none" w:sz="0" w:space="0" w:color="auto"/>
        <w:left w:val="none" w:sz="0" w:space="0" w:color="auto"/>
        <w:bottom w:val="none" w:sz="0" w:space="0" w:color="auto"/>
        <w:right w:val="none" w:sz="0" w:space="0" w:color="auto"/>
      </w:divBdr>
    </w:div>
    <w:div w:id="993607595">
      <w:bodyDiv w:val="1"/>
      <w:marLeft w:val="0"/>
      <w:marRight w:val="0"/>
      <w:marTop w:val="0"/>
      <w:marBottom w:val="0"/>
      <w:divBdr>
        <w:top w:val="none" w:sz="0" w:space="0" w:color="auto"/>
        <w:left w:val="none" w:sz="0" w:space="0" w:color="auto"/>
        <w:bottom w:val="none" w:sz="0" w:space="0" w:color="auto"/>
        <w:right w:val="none" w:sz="0" w:space="0" w:color="auto"/>
      </w:divBdr>
    </w:div>
    <w:div w:id="1030180441">
      <w:bodyDiv w:val="1"/>
      <w:marLeft w:val="0"/>
      <w:marRight w:val="0"/>
      <w:marTop w:val="0"/>
      <w:marBottom w:val="0"/>
      <w:divBdr>
        <w:top w:val="none" w:sz="0" w:space="0" w:color="auto"/>
        <w:left w:val="none" w:sz="0" w:space="0" w:color="auto"/>
        <w:bottom w:val="none" w:sz="0" w:space="0" w:color="auto"/>
        <w:right w:val="none" w:sz="0" w:space="0" w:color="auto"/>
      </w:divBdr>
    </w:div>
    <w:div w:id="1062825781">
      <w:bodyDiv w:val="1"/>
      <w:marLeft w:val="0"/>
      <w:marRight w:val="0"/>
      <w:marTop w:val="0"/>
      <w:marBottom w:val="0"/>
      <w:divBdr>
        <w:top w:val="none" w:sz="0" w:space="0" w:color="auto"/>
        <w:left w:val="none" w:sz="0" w:space="0" w:color="auto"/>
        <w:bottom w:val="none" w:sz="0" w:space="0" w:color="auto"/>
        <w:right w:val="none" w:sz="0" w:space="0" w:color="auto"/>
      </w:divBdr>
    </w:div>
    <w:div w:id="1264999438">
      <w:bodyDiv w:val="1"/>
      <w:marLeft w:val="0"/>
      <w:marRight w:val="0"/>
      <w:marTop w:val="0"/>
      <w:marBottom w:val="0"/>
      <w:divBdr>
        <w:top w:val="none" w:sz="0" w:space="0" w:color="auto"/>
        <w:left w:val="none" w:sz="0" w:space="0" w:color="auto"/>
        <w:bottom w:val="none" w:sz="0" w:space="0" w:color="auto"/>
        <w:right w:val="none" w:sz="0" w:space="0" w:color="auto"/>
      </w:divBdr>
    </w:div>
    <w:div w:id="1265847321">
      <w:bodyDiv w:val="1"/>
      <w:marLeft w:val="0"/>
      <w:marRight w:val="0"/>
      <w:marTop w:val="0"/>
      <w:marBottom w:val="0"/>
      <w:divBdr>
        <w:top w:val="none" w:sz="0" w:space="0" w:color="auto"/>
        <w:left w:val="none" w:sz="0" w:space="0" w:color="auto"/>
        <w:bottom w:val="none" w:sz="0" w:space="0" w:color="auto"/>
        <w:right w:val="none" w:sz="0" w:space="0" w:color="auto"/>
      </w:divBdr>
    </w:div>
    <w:div w:id="1304314948">
      <w:bodyDiv w:val="1"/>
      <w:marLeft w:val="0"/>
      <w:marRight w:val="0"/>
      <w:marTop w:val="0"/>
      <w:marBottom w:val="0"/>
      <w:divBdr>
        <w:top w:val="none" w:sz="0" w:space="0" w:color="auto"/>
        <w:left w:val="none" w:sz="0" w:space="0" w:color="auto"/>
        <w:bottom w:val="none" w:sz="0" w:space="0" w:color="auto"/>
        <w:right w:val="none" w:sz="0" w:space="0" w:color="auto"/>
      </w:divBdr>
    </w:div>
    <w:div w:id="1589118638">
      <w:bodyDiv w:val="1"/>
      <w:marLeft w:val="0"/>
      <w:marRight w:val="0"/>
      <w:marTop w:val="0"/>
      <w:marBottom w:val="0"/>
      <w:divBdr>
        <w:top w:val="none" w:sz="0" w:space="0" w:color="auto"/>
        <w:left w:val="none" w:sz="0" w:space="0" w:color="auto"/>
        <w:bottom w:val="none" w:sz="0" w:space="0" w:color="auto"/>
        <w:right w:val="none" w:sz="0" w:space="0" w:color="auto"/>
      </w:divBdr>
    </w:div>
    <w:div w:id="1627393047">
      <w:bodyDiv w:val="1"/>
      <w:marLeft w:val="0"/>
      <w:marRight w:val="0"/>
      <w:marTop w:val="0"/>
      <w:marBottom w:val="0"/>
      <w:divBdr>
        <w:top w:val="none" w:sz="0" w:space="0" w:color="auto"/>
        <w:left w:val="none" w:sz="0" w:space="0" w:color="auto"/>
        <w:bottom w:val="none" w:sz="0" w:space="0" w:color="auto"/>
        <w:right w:val="none" w:sz="0" w:space="0" w:color="auto"/>
      </w:divBdr>
    </w:div>
    <w:div w:id="1668553731">
      <w:bodyDiv w:val="1"/>
      <w:marLeft w:val="0"/>
      <w:marRight w:val="0"/>
      <w:marTop w:val="0"/>
      <w:marBottom w:val="0"/>
      <w:divBdr>
        <w:top w:val="none" w:sz="0" w:space="0" w:color="auto"/>
        <w:left w:val="none" w:sz="0" w:space="0" w:color="auto"/>
        <w:bottom w:val="none" w:sz="0" w:space="0" w:color="auto"/>
        <w:right w:val="none" w:sz="0" w:space="0" w:color="auto"/>
      </w:divBdr>
    </w:div>
    <w:div w:id="1694645185">
      <w:bodyDiv w:val="1"/>
      <w:marLeft w:val="0"/>
      <w:marRight w:val="0"/>
      <w:marTop w:val="0"/>
      <w:marBottom w:val="0"/>
      <w:divBdr>
        <w:top w:val="none" w:sz="0" w:space="0" w:color="auto"/>
        <w:left w:val="none" w:sz="0" w:space="0" w:color="auto"/>
        <w:bottom w:val="none" w:sz="0" w:space="0" w:color="auto"/>
        <w:right w:val="none" w:sz="0" w:space="0" w:color="auto"/>
      </w:divBdr>
    </w:div>
    <w:div w:id="1728600860">
      <w:bodyDiv w:val="1"/>
      <w:marLeft w:val="0"/>
      <w:marRight w:val="0"/>
      <w:marTop w:val="0"/>
      <w:marBottom w:val="0"/>
      <w:divBdr>
        <w:top w:val="none" w:sz="0" w:space="0" w:color="auto"/>
        <w:left w:val="none" w:sz="0" w:space="0" w:color="auto"/>
        <w:bottom w:val="none" w:sz="0" w:space="0" w:color="auto"/>
        <w:right w:val="none" w:sz="0" w:space="0" w:color="auto"/>
      </w:divBdr>
    </w:div>
    <w:div w:id="1818720642">
      <w:bodyDiv w:val="1"/>
      <w:marLeft w:val="0"/>
      <w:marRight w:val="0"/>
      <w:marTop w:val="0"/>
      <w:marBottom w:val="0"/>
      <w:divBdr>
        <w:top w:val="none" w:sz="0" w:space="0" w:color="auto"/>
        <w:left w:val="none" w:sz="0" w:space="0" w:color="auto"/>
        <w:bottom w:val="none" w:sz="0" w:space="0" w:color="auto"/>
        <w:right w:val="none" w:sz="0" w:space="0" w:color="auto"/>
      </w:divBdr>
    </w:div>
    <w:div w:id="1896161030">
      <w:bodyDiv w:val="1"/>
      <w:marLeft w:val="0"/>
      <w:marRight w:val="0"/>
      <w:marTop w:val="0"/>
      <w:marBottom w:val="0"/>
      <w:divBdr>
        <w:top w:val="none" w:sz="0" w:space="0" w:color="auto"/>
        <w:left w:val="none" w:sz="0" w:space="0" w:color="auto"/>
        <w:bottom w:val="none" w:sz="0" w:space="0" w:color="auto"/>
        <w:right w:val="none" w:sz="0" w:space="0" w:color="auto"/>
      </w:divBdr>
    </w:div>
    <w:div w:id="1936403257">
      <w:bodyDiv w:val="1"/>
      <w:marLeft w:val="0"/>
      <w:marRight w:val="0"/>
      <w:marTop w:val="0"/>
      <w:marBottom w:val="0"/>
      <w:divBdr>
        <w:top w:val="none" w:sz="0" w:space="0" w:color="auto"/>
        <w:left w:val="none" w:sz="0" w:space="0" w:color="auto"/>
        <w:bottom w:val="none" w:sz="0" w:space="0" w:color="auto"/>
        <w:right w:val="none" w:sz="0" w:space="0" w:color="auto"/>
      </w:divBdr>
    </w:div>
    <w:div w:id="2021809295">
      <w:bodyDiv w:val="1"/>
      <w:marLeft w:val="0"/>
      <w:marRight w:val="0"/>
      <w:marTop w:val="0"/>
      <w:marBottom w:val="0"/>
      <w:divBdr>
        <w:top w:val="none" w:sz="0" w:space="0" w:color="auto"/>
        <w:left w:val="none" w:sz="0" w:space="0" w:color="auto"/>
        <w:bottom w:val="none" w:sz="0" w:space="0" w:color="auto"/>
        <w:right w:val="none" w:sz="0" w:space="0" w:color="auto"/>
      </w:divBdr>
    </w:div>
    <w:div w:id="20729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95827-8692-4FE4-8FF1-BF85C865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5574</Words>
  <Characters>30299</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STATEMENT OF INVESTMENT</vt:lpstr>
    </vt:vector>
  </TitlesOfParts>
  <Company>London Borough of Harrow</Company>
  <LinksUpToDate>false</LinksUpToDate>
  <CharactersWithSpaces>35802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INVESTMENT</dc:title>
  <dc:creator>Pauline Durrant</dc:creator>
  <cp:lastModifiedBy>Coral O'Connor</cp:lastModifiedBy>
  <cp:revision>2</cp:revision>
  <cp:lastPrinted>2019-05-30T10:52:00Z</cp:lastPrinted>
  <dcterms:created xsi:type="dcterms:W3CDTF">2024-09-16T06:51:00Z</dcterms:created>
  <dcterms:modified xsi:type="dcterms:W3CDTF">2024-09-16T06:51:00Z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2024-08-30T16:24:17Z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f23a2f50-3fcc-421a-850b-801046d05fa8</vt:lpwstr>
  </property>
  <property fmtid="{D5CDD505-2E9C-101B-9397-08002B2CF9AE}" pid="8" name="MSIP_Label_9043f10a-881e-4653-a55e-02ca2cc829dc_ContentBits">
    <vt:lpwstr>0</vt:lpwstr>
  </property>
</Properties>
</file>